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ind w:firstLine="2252" w:firstLineChars="267"/>
        <w:rPr>
          <w:b/>
          <w:bCs/>
          <w:sz w:val="84"/>
          <w:szCs w:val="84"/>
        </w:rPr>
      </w:pPr>
      <w:r>
        <w:rPr>
          <w:rFonts w:hint="eastAsia"/>
          <w:b/>
          <w:bCs/>
          <w:sz w:val="84"/>
          <w:szCs w:val="84"/>
        </w:rPr>
        <w:t>产品报价书</w:t>
      </w:r>
    </w:p>
    <w:p>
      <w:pPr>
        <w:spacing w:line="240" w:lineRule="auto"/>
        <w:ind w:firstLine="2250" w:firstLineChars="467"/>
        <w:rPr>
          <w:b/>
          <w:bCs/>
          <w:sz w:val="48"/>
          <w:szCs w:val="48"/>
        </w:rPr>
      </w:pPr>
      <w:r>
        <w:rPr>
          <w:rFonts w:hint="eastAsia"/>
          <w:b/>
          <w:bCs/>
          <w:sz w:val="48"/>
          <w:szCs w:val="48"/>
        </w:rPr>
        <w:t>项目名称</w:t>
      </w:r>
      <w:r>
        <w:rPr>
          <w:b/>
          <w:bCs/>
          <w:sz w:val="48"/>
          <w:szCs w:val="48"/>
        </w:rPr>
        <w:t>：</w:t>
      </w:r>
    </w:p>
    <w:p>
      <w:pPr>
        <w:spacing w:line="240" w:lineRule="auto"/>
        <w:ind w:firstLine="1600" w:firstLineChars="667"/>
        <w:rPr>
          <w:rFonts w:hint="default" w:eastAsia="宋体"/>
          <w:b/>
          <w:bCs/>
          <w:sz w:val="48"/>
          <w:szCs w:val="48"/>
          <w:lang w:val="en-US" w:eastAsia="zh-CN"/>
        </w:rPr>
      </w:pPr>
      <w:r>
        <w:drawing>
          <wp:anchor distT="0" distB="0" distL="114300" distR="114300" simplePos="0" relativeHeight="251689984" behindDoc="1" locked="0" layoutInCell="1" allowOverlap="1">
            <wp:simplePos x="0" y="0"/>
            <wp:positionH relativeFrom="column">
              <wp:posOffset>36830</wp:posOffset>
            </wp:positionH>
            <wp:positionV relativeFrom="paragraph">
              <wp:posOffset>363855</wp:posOffset>
            </wp:positionV>
            <wp:extent cx="5759450" cy="3409315"/>
            <wp:effectExtent l="0" t="0" r="0" b="127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759450" cy="3409122"/>
                    </a:xfrm>
                    <a:prstGeom prst="rect">
                      <a:avLst/>
                    </a:prstGeom>
                    <a:noFill/>
                    <a:ln>
                      <a:noFill/>
                    </a:ln>
                  </pic:spPr>
                </pic:pic>
              </a:graphicData>
            </a:graphic>
          </wp:anchor>
        </w:drawing>
      </w:r>
      <w:r>
        <w:rPr>
          <w:rFonts w:hint="eastAsia"/>
          <w:b/>
          <w:bCs/>
          <w:sz w:val="48"/>
          <w:szCs w:val="48"/>
        </w:rPr>
        <w:t>报价编号：</w:t>
      </w:r>
      <w:r>
        <w:rPr>
          <w:b/>
          <w:bCs/>
          <w:sz w:val="48"/>
          <w:szCs w:val="48"/>
        </w:rPr>
        <w:t>F</w:t>
      </w:r>
      <w:r>
        <w:rPr>
          <w:rFonts w:hint="eastAsia"/>
          <w:b/>
          <w:bCs/>
          <w:sz w:val="48"/>
          <w:szCs w:val="48"/>
          <w:lang w:val="en-US" w:eastAsia="zh-CN"/>
        </w:rPr>
        <w:t>e.....</w:t>
      </w:r>
    </w:p>
    <w:p>
      <w:pPr>
        <w:ind w:firstLine="565" w:firstLineChars="67"/>
        <w:rPr>
          <w:b/>
          <w:bCs/>
          <w:sz w:val="84"/>
          <w:szCs w:val="84"/>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jc w:val="left"/>
        <w:rPr>
          <w:lang w:val="zh-CN"/>
        </w:rPr>
      </w:pPr>
    </w:p>
    <w:p>
      <w:pPr>
        <w:widowControl/>
        <w:adjustRightInd/>
        <w:snapToGrid/>
        <w:spacing w:line="240" w:lineRule="auto"/>
        <w:ind w:firstLine="960" w:firstLineChars="300"/>
        <w:jc w:val="left"/>
        <w:rPr>
          <w:rFonts w:ascii="黑体" w:hAnsi="黑体" w:eastAsia="黑体"/>
          <w:sz w:val="32"/>
          <w:szCs w:val="32"/>
        </w:rPr>
      </w:pPr>
      <w:r>
        <w:rPr>
          <w:rFonts w:hint="eastAsia" w:ascii="黑体" w:hAnsi="黑体" w:eastAsia="黑体"/>
          <w:sz w:val="32"/>
          <w:szCs w:val="32"/>
          <w:lang w:val="zh-CN"/>
        </w:rPr>
        <w:t>报价人名称：</w:t>
      </w:r>
      <w:r>
        <w:rPr>
          <w:rFonts w:hint="eastAsia" w:ascii="黑体" w:hAnsi="黑体" w:eastAsia="黑体"/>
          <w:sz w:val="32"/>
          <w:szCs w:val="32"/>
        </w:rPr>
        <w:t>富士电梯制造（惠州）有限公司</w:t>
      </w:r>
    </w:p>
    <w:p>
      <w:pPr>
        <w:widowControl/>
        <w:adjustRightInd/>
        <w:snapToGrid/>
        <w:spacing w:line="240" w:lineRule="auto"/>
        <w:ind w:firstLine="2880" w:firstLineChars="900"/>
        <w:jc w:val="left"/>
        <w:rPr>
          <w:rFonts w:ascii="黑体" w:hAnsi="黑体" w:eastAsia="黑体"/>
          <w:sz w:val="32"/>
          <w:szCs w:val="32"/>
        </w:rPr>
      </w:pPr>
      <w:r>
        <w:rPr>
          <w:rFonts w:hint="eastAsia" w:ascii="黑体" w:hAnsi="黑体" w:eastAsia="黑体"/>
          <w:color w:val="333333"/>
          <w:sz w:val="32"/>
          <w:szCs w:val="32"/>
        </w:rPr>
        <w:t xml:space="preserve">Fuji </w:t>
      </w:r>
      <w:r>
        <w:rPr>
          <w:rFonts w:ascii="黑体" w:hAnsi="黑体" w:eastAsia="黑体"/>
          <w:color w:val="333333"/>
          <w:sz w:val="32"/>
          <w:szCs w:val="32"/>
        </w:rPr>
        <w:t>ELEVATOR</w:t>
      </w:r>
      <w:r>
        <w:rPr>
          <w:rFonts w:hint="eastAsia" w:ascii="黑体" w:hAnsi="黑体" w:eastAsia="黑体"/>
          <w:color w:val="333333"/>
          <w:sz w:val="32"/>
          <w:szCs w:val="32"/>
        </w:rPr>
        <w:t xml:space="preserve"> (</w:t>
      </w:r>
      <w:r>
        <w:rPr>
          <w:rFonts w:ascii="黑体" w:hAnsi="黑体" w:eastAsia="黑体"/>
          <w:color w:val="333333"/>
          <w:sz w:val="32"/>
          <w:szCs w:val="32"/>
        </w:rPr>
        <w:t>HUIZHOU</w:t>
      </w:r>
      <w:r>
        <w:rPr>
          <w:rFonts w:hint="eastAsia" w:ascii="黑体" w:hAnsi="黑体" w:eastAsia="黑体"/>
          <w:color w:val="333333"/>
          <w:sz w:val="32"/>
          <w:szCs w:val="32"/>
        </w:rPr>
        <w:t>)</w:t>
      </w:r>
      <w:r>
        <w:rPr>
          <w:rFonts w:ascii="黑体" w:hAnsi="黑体" w:eastAsia="黑体"/>
          <w:color w:val="333333"/>
          <w:sz w:val="32"/>
          <w:szCs w:val="32"/>
        </w:rPr>
        <w:t>CO.LTD</w:t>
      </w:r>
    </w:p>
    <w:p>
      <w:pPr>
        <w:spacing w:line="240" w:lineRule="auto"/>
        <w:ind w:firstLine="960" w:firstLineChars="300"/>
        <w:rPr>
          <w:rFonts w:ascii="黑体" w:hAnsi="黑体" w:eastAsia="黑体"/>
          <w:sz w:val="32"/>
          <w:szCs w:val="32"/>
        </w:rPr>
      </w:pPr>
      <w:r>
        <w:rPr>
          <w:rFonts w:hint="eastAsia" w:ascii="黑体" w:hAnsi="黑体" w:eastAsia="黑体"/>
          <w:sz w:val="32"/>
          <w:szCs w:val="32"/>
          <w:lang w:val="zh-CN"/>
        </w:rPr>
        <w:t>报价人地址：</w:t>
      </w:r>
      <w:r>
        <w:rPr>
          <w:rFonts w:hint="eastAsia" w:ascii="黑体" w:hAnsi="黑体" w:eastAsia="黑体"/>
          <w:sz w:val="32"/>
          <w:szCs w:val="32"/>
        </w:rPr>
        <w:t>广东省旅游胜地罗浮山脚下惠州市博罗县</w:t>
      </w:r>
      <w:r>
        <w:rPr>
          <w:rFonts w:hint="eastAsia" w:ascii="黑体" w:hAnsi="黑体" w:eastAsia="黑体" w:cs="宋体"/>
          <w:bCs/>
          <w:sz w:val="32"/>
          <w:szCs w:val="32"/>
        </w:rPr>
        <w:t>石湾镇</w:t>
      </w:r>
    </w:p>
    <w:p>
      <w:pPr>
        <w:widowControl/>
        <w:adjustRightInd/>
        <w:snapToGrid/>
        <w:spacing w:line="240" w:lineRule="auto"/>
        <w:ind w:firstLine="960" w:firstLineChars="300"/>
        <w:jc w:val="left"/>
        <w:rPr>
          <w:rFonts w:ascii="黑体" w:hAnsi="黑体" w:eastAsia="黑体"/>
          <w:sz w:val="32"/>
          <w:szCs w:val="32"/>
          <w:lang w:val="zh-CN"/>
        </w:rPr>
      </w:pPr>
      <w:r>
        <w:rPr>
          <w:rFonts w:hint="eastAsia" w:ascii="黑体" w:hAnsi="黑体" w:eastAsia="黑体"/>
          <w:sz w:val="32"/>
          <w:szCs w:val="32"/>
          <w:lang w:val="zh-CN"/>
        </w:rPr>
        <w:t>报价人电话：</w:t>
      </w:r>
    </w:p>
    <w:p>
      <w:pPr>
        <w:widowControl/>
        <w:adjustRightInd/>
        <w:snapToGrid/>
        <w:spacing w:line="240" w:lineRule="auto"/>
        <w:jc w:val="left"/>
        <w:rPr>
          <w:sz w:val="44"/>
          <w:szCs w:val="44"/>
          <w:lang w:val="zh-CN"/>
        </w:rPr>
      </w:pPr>
    </w:p>
    <w:sdt>
      <w:sdtPr>
        <w:rPr>
          <w:rFonts w:ascii="Times New Roman" w:hAnsi="Times New Roman" w:eastAsia="宋体" w:cstheme="minorBidi"/>
          <w:color w:val="auto"/>
          <w:kern w:val="2"/>
          <w:sz w:val="24"/>
          <w:szCs w:val="22"/>
          <w:lang w:val="zh-CN"/>
        </w:rPr>
        <w:id w:val="1404263201"/>
        <w:docPartObj>
          <w:docPartGallery w:val="Table of Contents"/>
          <w:docPartUnique/>
        </w:docPartObj>
      </w:sdtPr>
      <w:sdtEndPr>
        <w:rPr>
          <w:rFonts w:ascii="Times New Roman" w:hAnsi="Times New Roman" w:eastAsia="宋体" w:cstheme="minorBidi"/>
          <w:b/>
          <w:bCs/>
          <w:color w:val="auto"/>
          <w:kern w:val="2"/>
          <w:sz w:val="24"/>
          <w:szCs w:val="22"/>
          <w:lang w:val="zh-CN"/>
        </w:rPr>
      </w:sdtEndPr>
      <w:sdtContent>
        <w:p>
          <w:pPr>
            <w:pStyle w:val="36"/>
            <w:jc w:val="center"/>
            <w:rPr>
              <w:b/>
              <w:bCs/>
              <w:color w:val="00B0F0"/>
            </w:rPr>
          </w:pPr>
          <w:r>
            <w:rPr>
              <w:b/>
              <w:bCs/>
              <w:color w:val="00B0F0"/>
              <w:lang w:val="zh-CN"/>
            </w:rPr>
            <w:t>目</w:t>
          </w:r>
          <w:r>
            <w:rPr>
              <w:rFonts w:hint="eastAsia"/>
              <w:b/>
              <w:bCs/>
              <w:color w:val="00B0F0"/>
              <w:lang w:val="zh-CN"/>
            </w:rPr>
            <w:t xml:space="preserve"> </w:t>
          </w:r>
          <w:r>
            <w:rPr>
              <w:b/>
              <w:bCs/>
              <w:color w:val="00B0F0"/>
              <w:lang w:val="zh-CN"/>
            </w:rPr>
            <w:t>录</w:t>
          </w:r>
        </w:p>
        <w:p>
          <w:pPr>
            <w:pStyle w:val="19"/>
            <w:tabs>
              <w:tab w:val="right" w:leader="dot" w:pos="9060"/>
            </w:tabs>
            <w:rPr>
              <w:rFonts w:asciiTheme="minorHAnsi" w:hAnsiTheme="minorHAnsi" w:eastAsiaTheme="minorEastAsia"/>
              <w:sz w:val="21"/>
            </w:rPr>
          </w:pPr>
          <w:r>
            <w:fldChar w:fldCharType="begin"/>
          </w:r>
          <w:r>
            <w:instrText xml:space="preserve"> TOC \o "1-3" \h \z \u </w:instrText>
          </w:r>
          <w:r>
            <w:fldChar w:fldCharType="separate"/>
          </w:r>
          <w:r>
            <w:fldChar w:fldCharType="begin"/>
          </w:r>
          <w:r>
            <w:instrText xml:space="preserve"> HYPERLINK \l "_Toc120891597" </w:instrText>
          </w:r>
          <w:r>
            <w:fldChar w:fldCharType="separate"/>
          </w:r>
          <w:r>
            <w:rPr>
              <w:rStyle w:val="13"/>
            </w:rPr>
            <w:t>一、</w:t>
          </w:r>
          <w:r>
            <w:rPr>
              <w:rStyle w:val="13"/>
              <w:kern w:val="0"/>
            </w:rPr>
            <w:t xml:space="preserve"> </w:t>
          </w:r>
          <w:r>
            <w:rPr>
              <w:rStyle w:val="13"/>
            </w:rPr>
            <w:t>富士电梯制造（惠州）有限公司简介</w:t>
          </w:r>
          <w:r>
            <w:tab/>
          </w:r>
          <w:r>
            <w:fldChar w:fldCharType="begin"/>
          </w:r>
          <w:r>
            <w:instrText xml:space="preserve"> PAGEREF _Toc120891597 \h </w:instrText>
          </w:r>
          <w:r>
            <w:fldChar w:fldCharType="separate"/>
          </w:r>
          <w:r>
            <w:t>1</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"_Toc120891598" </w:instrText>
          </w:r>
          <w:r>
            <w:fldChar w:fldCharType="separate"/>
          </w:r>
          <w:r>
            <w:rPr>
              <w:rStyle w:val="13"/>
            </w:rPr>
            <w:t>二、</w:t>
          </w:r>
          <w:r>
            <w:rPr>
              <w:rStyle w:val="13"/>
              <w:kern w:val="0"/>
            </w:rPr>
            <w:t xml:space="preserve"> </w:t>
          </w:r>
          <w:r>
            <w:rPr>
              <w:rStyle w:val="13"/>
            </w:rPr>
            <w:t>报价函</w:t>
          </w:r>
          <w:r>
            <w:tab/>
          </w:r>
          <w:r>
            <w:fldChar w:fldCharType="begin"/>
          </w:r>
          <w:r>
            <w:instrText xml:space="preserve"> PAGEREF _Toc120891598 \h </w:instrText>
          </w:r>
          <w:r>
            <w:fldChar w:fldCharType="separate"/>
          </w:r>
          <w:r>
            <w:t>6</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"_Toc120891599" </w:instrText>
          </w:r>
          <w:r>
            <w:fldChar w:fldCharType="separate"/>
          </w:r>
          <w:r>
            <w:rPr>
              <w:rStyle w:val="13"/>
            </w:rPr>
            <w:t>（一） 报价函</w:t>
          </w:r>
          <w:r>
            <w:tab/>
          </w:r>
          <w:r>
            <w:fldChar w:fldCharType="begin"/>
          </w:r>
          <w:r>
            <w:instrText xml:space="preserve"> PAGEREF _Toc120891599 \h </w:instrText>
          </w:r>
          <w:r>
            <w:fldChar w:fldCharType="separate"/>
          </w:r>
          <w:r>
            <w:t>7</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"_Toc120891600" </w:instrText>
          </w:r>
          <w:r>
            <w:fldChar w:fldCharType="separate"/>
          </w:r>
          <w:r>
            <w:rPr>
              <w:rStyle w:val="13"/>
            </w:rPr>
            <w:t>三、 投标报价汇总表</w:t>
          </w:r>
          <w:r>
            <w:tab/>
          </w:r>
          <w:r>
            <w:fldChar w:fldCharType="begin"/>
          </w:r>
          <w:r>
            <w:instrText xml:space="preserve"> PAGEREF _Toc120891600 \h </w:instrText>
          </w:r>
          <w:r>
            <w:fldChar w:fldCharType="separate"/>
          </w:r>
          <w:r>
            <w:t>8</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"_Toc120891601" </w:instrText>
          </w:r>
          <w:r>
            <w:fldChar w:fldCharType="separate"/>
          </w:r>
          <w:r>
            <w:rPr>
              <w:rStyle w:val="13"/>
            </w:rPr>
            <w:t>四、 技术规格描述</w:t>
          </w:r>
          <w:r>
            <w:tab/>
          </w:r>
          <w:r>
            <w:fldChar w:fldCharType="begin"/>
          </w:r>
          <w:r>
            <w:instrText xml:space="preserve"> PAGEREF _Toc120891601 \h </w:instrText>
          </w:r>
          <w:r>
            <w:fldChar w:fldCharType="separate"/>
          </w:r>
          <w:r>
            <w:t>11</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"_Toc120891602" </w:instrText>
          </w:r>
          <w:r>
            <w:fldChar w:fldCharType="separate"/>
          </w:r>
          <w:r>
            <w:rPr>
              <w:rStyle w:val="13"/>
            </w:rPr>
            <w:t>（一） 产品技术参数及要求</w:t>
          </w:r>
          <w:r>
            <w:tab/>
          </w:r>
          <w:r>
            <w:fldChar w:fldCharType="begin"/>
          </w:r>
          <w:r>
            <w:instrText xml:space="preserve"> PAGEREF _Toc120891602 \h </w:instrText>
          </w:r>
          <w:r>
            <w:fldChar w:fldCharType="separate"/>
          </w:r>
          <w:r>
            <w:t>11</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"_Toc120891603" </w:instrText>
          </w:r>
          <w:r>
            <w:fldChar w:fldCharType="separate"/>
          </w:r>
          <w:r>
            <w:rPr>
              <w:rStyle w:val="13"/>
            </w:rPr>
            <w:t>（二） 产品技术参数及要求</w:t>
          </w:r>
          <w:r>
            <w:tab/>
          </w:r>
          <w:r>
            <w:fldChar w:fldCharType="begin"/>
          </w:r>
          <w:r>
            <w:instrText xml:space="preserve"> PAGEREF _Toc120891603 \h </w:instrText>
          </w:r>
          <w:r>
            <w:fldChar w:fldCharType="separate"/>
          </w:r>
          <w:r>
            <w:t>12</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"_Toc120891604" </w:instrText>
          </w:r>
          <w:r>
            <w:fldChar w:fldCharType="separate"/>
          </w:r>
          <w:r>
            <w:rPr>
              <w:rStyle w:val="13"/>
            </w:rPr>
            <w:t>（三） 产品技术参数及要求</w:t>
          </w:r>
          <w:r>
            <w:tab/>
          </w:r>
          <w:r>
            <w:fldChar w:fldCharType="begin"/>
          </w:r>
          <w:r>
            <w:instrText xml:space="preserve"> PAGEREF _Toc120891604 \h </w:instrText>
          </w:r>
          <w:r>
            <w:fldChar w:fldCharType="separate"/>
          </w:r>
          <w:r>
            <w:t>13</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"_Toc120891605" </w:instrText>
          </w:r>
          <w:r>
            <w:fldChar w:fldCharType="separate"/>
          </w:r>
          <w:r>
            <w:rPr>
              <w:rStyle w:val="13"/>
            </w:rPr>
            <w:t>（四） 产品技术参数及要求</w:t>
          </w:r>
          <w:r>
            <w:tab/>
          </w:r>
          <w:r>
            <w:fldChar w:fldCharType="begin"/>
          </w:r>
          <w:r>
            <w:instrText xml:space="preserve"> PAGEREF _Toc120891605 \h </w:instrText>
          </w:r>
          <w:r>
            <w:fldChar w:fldCharType="separate"/>
          </w:r>
          <w:r>
            <w:t>14</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"_Toc120891606" </w:instrText>
          </w:r>
          <w:r>
            <w:fldChar w:fldCharType="separate"/>
          </w:r>
          <w:r>
            <w:rPr>
              <w:rStyle w:val="13"/>
            </w:rPr>
            <w:t>（五） 电梯功能</w:t>
          </w:r>
          <w:r>
            <w:tab/>
          </w:r>
          <w:r>
            <w:fldChar w:fldCharType="begin"/>
          </w:r>
          <w:r>
            <w:instrText xml:space="preserve"> PAGEREF _Toc120891606 \h </w:instrText>
          </w:r>
          <w:r>
            <w:fldChar w:fldCharType="separate"/>
          </w:r>
          <w:r>
            <w:t>16</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"_Toc120891607" </w:instrText>
          </w:r>
          <w:r>
            <w:fldChar w:fldCharType="separate"/>
          </w:r>
          <w:r>
            <w:rPr>
              <w:rStyle w:val="13"/>
            </w:rPr>
            <w:t>五、 售后服务承诺及维保服务</w:t>
          </w:r>
          <w:r>
            <w:tab/>
          </w:r>
          <w:r>
            <w:fldChar w:fldCharType="begin"/>
          </w:r>
          <w:r>
            <w:instrText xml:space="preserve"> PAGEREF _Toc120891607 \h </w:instrText>
          </w:r>
          <w:r>
            <w:fldChar w:fldCharType="separate"/>
          </w:r>
          <w:r>
            <w:t>20</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"_Toc120891608" </w:instrText>
          </w:r>
          <w:r>
            <w:fldChar w:fldCharType="separate"/>
          </w:r>
          <w:r>
            <w:rPr>
              <w:rStyle w:val="13"/>
            </w:rPr>
            <w:t>（一） 我们的维保标准</w:t>
          </w:r>
          <w:r>
            <w:tab/>
          </w:r>
          <w:r>
            <w:fldChar w:fldCharType="begin"/>
          </w:r>
          <w:r>
            <w:instrText xml:space="preserve"> PAGEREF _Toc120891608 \h </w:instrText>
          </w:r>
          <w:r>
            <w:fldChar w:fldCharType="separate"/>
          </w:r>
          <w:r>
            <w:t>20</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"_Toc120891609" </w:instrText>
          </w:r>
          <w:r>
            <w:fldChar w:fldCharType="separate"/>
          </w:r>
          <w:r>
            <w:rPr>
              <w:rStyle w:val="13"/>
            </w:rPr>
            <w:t>（二） 维保服务计划</w:t>
          </w:r>
          <w:r>
            <w:tab/>
          </w:r>
          <w:r>
            <w:fldChar w:fldCharType="begin"/>
          </w:r>
          <w:r>
            <w:instrText xml:space="preserve"> PAGEREF _Toc120891609 \h </w:instrText>
          </w:r>
          <w:r>
            <w:fldChar w:fldCharType="separate"/>
          </w:r>
          <w:r>
            <w:t>24</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"_Toc120891610" </w:instrText>
          </w:r>
          <w:r>
            <w:fldChar w:fldCharType="separate"/>
          </w:r>
          <w:r>
            <w:rPr>
              <w:rStyle w:val="13"/>
            </w:rPr>
            <w:t>（三） 电梯规范服务内容</w:t>
          </w:r>
          <w:r>
            <w:tab/>
          </w:r>
          <w:r>
            <w:fldChar w:fldCharType="begin"/>
          </w:r>
          <w:r>
            <w:instrText xml:space="preserve"> PAGEREF _Toc120891610 \h </w:instrText>
          </w:r>
          <w:r>
            <w:fldChar w:fldCharType="separate"/>
          </w:r>
          <w:r>
            <w:t>28</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"_Toc120891611" </w:instrText>
          </w:r>
          <w:r>
            <w:fldChar w:fldCharType="separate"/>
          </w:r>
          <w:r>
            <w:rPr>
              <w:rStyle w:val="13"/>
              <w:rFonts w:ascii="方正楷体简体" w:eastAsia="方正楷体简体"/>
            </w:rPr>
            <w:t>六、</w:t>
          </w:r>
          <w:r>
            <w:rPr>
              <w:rStyle w:val="13"/>
            </w:rPr>
            <w:t xml:space="preserve"> 电梯的主要配置</w:t>
          </w:r>
          <w:r>
            <w:tab/>
          </w:r>
          <w:r>
            <w:fldChar w:fldCharType="begin"/>
          </w:r>
          <w:r>
            <w:instrText xml:space="preserve"> PAGEREF _Toc120891611 \h </w:instrText>
          </w:r>
          <w:r>
            <w:fldChar w:fldCharType="separate"/>
          </w:r>
          <w:r>
            <w:t>29</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"_Toc120891612" </w:instrText>
          </w:r>
          <w:r>
            <w:fldChar w:fldCharType="separate"/>
          </w:r>
          <w:r>
            <w:rPr>
              <w:rStyle w:val="13"/>
            </w:rPr>
            <w:t>七、 资质文件</w:t>
          </w:r>
          <w:r>
            <w:tab/>
          </w:r>
          <w:r>
            <w:fldChar w:fldCharType="begin"/>
          </w:r>
          <w:r>
            <w:instrText xml:space="preserve"> PAGEREF _Toc120891612 \h </w:instrText>
          </w:r>
          <w:r>
            <w:fldChar w:fldCharType="separate"/>
          </w:r>
          <w:r>
            <w:t>30</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"_Toc120891613" </w:instrText>
          </w:r>
          <w:r>
            <w:fldChar w:fldCharType="separate"/>
          </w:r>
          <w:r>
            <w:rPr>
              <w:rStyle w:val="13"/>
            </w:rPr>
            <w:t>（一） 营业执照</w:t>
          </w:r>
          <w:r>
            <w:tab/>
          </w:r>
          <w:r>
            <w:fldChar w:fldCharType="begin"/>
          </w:r>
          <w:r>
            <w:instrText xml:space="preserve"> PAGEREF _Toc120891613 \h </w:instrText>
          </w:r>
          <w:r>
            <w:fldChar w:fldCharType="separate"/>
          </w:r>
          <w:r>
            <w:t>30</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"_Toc120891614" </w:instrText>
          </w:r>
          <w:r>
            <w:fldChar w:fldCharType="separate"/>
          </w:r>
          <w:r>
            <w:rPr>
              <w:rStyle w:val="13"/>
            </w:rPr>
            <w:t>（二） 特种设备生产许可证</w:t>
          </w:r>
          <w:r>
            <w:tab/>
          </w:r>
          <w:r>
            <w:fldChar w:fldCharType="begin"/>
          </w:r>
          <w:r>
            <w:instrText xml:space="preserve"> PAGEREF _Toc120891614 \h </w:instrText>
          </w:r>
          <w:r>
            <w:fldChar w:fldCharType="separate"/>
          </w:r>
          <w:r>
            <w:t>31</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"_Toc120891615" </w:instrText>
          </w:r>
          <w:r>
            <w:fldChar w:fldCharType="separate"/>
          </w:r>
          <w:r>
            <w:rPr>
              <w:rStyle w:val="13"/>
            </w:rPr>
            <w:t>（三） 技术合作协议书</w:t>
          </w:r>
          <w:r>
            <w:tab/>
          </w:r>
          <w:r>
            <w:fldChar w:fldCharType="begin"/>
          </w:r>
          <w:r>
            <w:instrText xml:space="preserve"> PAGEREF _Toc120891615 \h </w:instrText>
          </w:r>
          <w:r>
            <w:fldChar w:fldCharType="separate"/>
          </w:r>
          <w:r>
            <w:t>32</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"_Toc120891616" </w:instrText>
          </w:r>
          <w:r>
            <w:fldChar w:fldCharType="separate"/>
          </w:r>
          <w:r>
            <w:rPr>
              <w:rStyle w:val="13"/>
            </w:rPr>
            <w:t>（四） 质量管理体系认证证书</w:t>
          </w:r>
          <w:r>
            <w:tab/>
          </w:r>
          <w:r>
            <w:fldChar w:fldCharType="begin"/>
          </w:r>
          <w:r>
            <w:instrText xml:space="preserve"> PAGEREF _Toc120891616 \h </w:instrText>
          </w:r>
          <w:r>
            <w:fldChar w:fldCharType="separate"/>
          </w:r>
          <w:r>
            <w:t>35</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"_Toc120891617" </w:instrText>
          </w:r>
          <w:r>
            <w:fldChar w:fldCharType="separate"/>
          </w:r>
          <w:r>
            <w:rPr>
              <w:rStyle w:val="13"/>
            </w:rPr>
            <w:t>1. 质量管理体系认证证书</w:t>
          </w:r>
          <w:r>
            <w:tab/>
          </w:r>
          <w:r>
            <w:fldChar w:fldCharType="begin"/>
          </w:r>
          <w:r>
            <w:instrText xml:space="preserve"> PAGEREF _Toc120891617 \h </w:instrText>
          </w:r>
          <w:r>
            <w:fldChar w:fldCharType="separate"/>
          </w:r>
          <w:r>
            <w:t>35</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"_Toc120891618" </w:instrText>
          </w:r>
          <w:r>
            <w:fldChar w:fldCharType="separate"/>
          </w:r>
          <w:r>
            <w:rPr>
              <w:rStyle w:val="13"/>
            </w:rPr>
            <w:t>2. 环境管理体系认证证书</w:t>
          </w:r>
          <w:r>
            <w:tab/>
          </w:r>
          <w:r>
            <w:fldChar w:fldCharType="begin"/>
          </w:r>
          <w:r>
            <w:instrText xml:space="preserve"> PAGEREF _Toc120891618 \h </w:instrText>
          </w:r>
          <w:r>
            <w:fldChar w:fldCharType="separate"/>
          </w:r>
          <w:r>
            <w:t>36</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"_Toc120891619" </w:instrText>
          </w:r>
          <w:r>
            <w:fldChar w:fldCharType="separate"/>
          </w:r>
          <w:r>
            <w:rPr>
              <w:rStyle w:val="13"/>
            </w:rPr>
            <w:t>3. 职业健康安全管理体系认证证书</w:t>
          </w:r>
          <w:r>
            <w:tab/>
          </w:r>
          <w:r>
            <w:fldChar w:fldCharType="begin"/>
          </w:r>
          <w:r>
            <w:instrText xml:space="preserve"> PAGEREF _Toc120891619 \h </w:instrText>
          </w:r>
          <w:r>
            <w:fldChar w:fldCharType="separate"/>
          </w:r>
          <w:r>
            <w:t>37</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"_Toc120891620" </w:instrText>
          </w:r>
          <w:r>
            <w:fldChar w:fldCharType="separate"/>
          </w:r>
          <w:r>
            <w:rPr>
              <w:rStyle w:val="13"/>
            </w:rPr>
            <w:t>（五） 验收报告</w:t>
          </w:r>
          <w:r>
            <w:tab/>
          </w:r>
          <w:r>
            <w:fldChar w:fldCharType="begin"/>
          </w:r>
          <w:r>
            <w:instrText xml:space="preserve"> PAGEREF _Toc120891620 \h </w:instrText>
          </w:r>
          <w:r>
            <w:fldChar w:fldCharType="separate"/>
          </w:r>
          <w:r>
            <w:t>38</w:t>
          </w:r>
          <w:r>
            <w:fldChar w:fldCharType="end"/>
          </w:r>
          <w:r>
            <w:fldChar w:fldCharType="end"/>
          </w:r>
        </w:p>
        <w:p>
          <w:pPr>
            <w:pStyle w:val="20"/>
            <w:tabs>
              <w:tab w:val="right" w:leader="dot" w:pos="9060"/>
            </w:tabs>
            <w:ind w:left="480"/>
            <w:rPr>
              <w:rFonts w:asciiTheme="minorHAnsi" w:hAnsiTheme="minorHAnsi" w:eastAsiaTheme="minorEastAsia"/>
              <w:sz w:val="21"/>
            </w:rPr>
          </w:pPr>
          <w:r>
            <w:fldChar w:fldCharType="begin"/>
          </w:r>
          <w:r>
            <w:instrText xml:space="preserve"> HYPERLINK \l "_Toc120891621" </w:instrText>
          </w:r>
          <w:r>
            <w:fldChar w:fldCharType="separate"/>
          </w:r>
          <w:r>
            <w:rPr>
              <w:rStyle w:val="13"/>
            </w:rPr>
            <w:t>（六） 信用等级证书</w:t>
          </w:r>
          <w:r>
            <w:tab/>
          </w:r>
          <w:r>
            <w:fldChar w:fldCharType="begin"/>
          </w:r>
          <w:r>
            <w:instrText xml:space="preserve"> PAGEREF _Toc120891621 \h </w:instrText>
          </w:r>
          <w:r>
            <w:fldChar w:fldCharType="separate"/>
          </w:r>
          <w:r>
            <w:t>48</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"_Toc120891622" </w:instrText>
          </w:r>
          <w:r>
            <w:fldChar w:fldCharType="separate"/>
          </w:r>
          <w:r>
            <w:rPr>
              <w:rStyle w:val="13"/>
            </w:rPr>
            <w:t>1. AAA级信用企业</w:t>
          </w:r>
          <w:r>
            <w:tab/>
          </w:r>
          <w:r>
            <w:fldChar w:fldCharType="begin"/>
          </w:r>
          <w:r>
            <w:instrText xml:space="preserve"> PAGEREF _Toc120891622 \h </w:instrText>
          </w:r>
          <w:r>
            <w:fldChar w:fldCharType="separate"/>
          </w:r>
          <w:r>
            <w:t>48</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"_Toc120891623" </w:instrText>
          </w:r>
          <w:r>
            <w:fldChar w:fldCharType="separate"/>
          </w:r>
          <w:r>
            <w:rPr>
              <w:rStyle w:val="13"/>
            </w:rPr>
            <w:t>2. AAA级企业信用等级证书</w:t>
          </w:r>
          <w:r>
            <w:tab/>
          </w:r>
          <w:r>
            <w:fldChar w:fldCharType="begin"/>
          </w:r>
          <w:r>
            <w:instrText xml:space="preserve"> PAGEREF _Toc120891623 \h </w:instrText>
          </w:r>
          <w:r>
            <w:fldChar w:fldCharType="separate"/>
          </w:r>
          <w:r>
            <w:t>49</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"_Toc120891624" </w:instrText>
          </w:r>
          <w:r>
            <w:fldChar w:fldCharType="separate"/>
          </w:r>
          <w:r>
            <w:rPr>
              <w:rStyle w:val="13"/>
            </w:rPr>
            <w:t>3. AAA级企业资信等级证书</w:t>
          </w:r>
          <w:r>
            <w:tab/>
          </w:r>
          <w:r>
            <w:fldChar w:fldCharType="begin"/>
          </w:r>
          <w:r>
            <w:instrText xml:space="preserve"> PAGEREF _Toc120891624 \h </w:instrText>
          </w:r>
          <w:r>
            <w:fldChar w:fldCharType="separate"/>
          </w:r>
          <w:r>
            <w:t>50</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"_Toc120891625" </w:instrText>
          </w:r>
          <w:r>
            <w:fldChar w:fldCharType="separate"/>
          </w:r>
          <w:r>
            <w:rPr>
              <w:rStyle w:val="13"/>
            </w:rPr>
            <w:t>4. AAA级重合同守信用证书</w:t>
          </w:r>
          <w:r>
            <w:tab/>
          </w:r>
          <w:r>
            <w:fldChar w:fldCharType="begin"/>
          </w:r>
          <w:r>
            <w:instrText xml:space="preserve"> PAGEREF _Toc120891625 \h </w:instrText>
          </w:r>
          <w:r>
            <w:fldChar w:fldCharType="separate"/>
          </w:r>
          <w:r>
            <w:t>51</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"_Toc120891626" </w:instrText>
          </w:r>
          <w:r>
            <w:fldChar w:fldCharType="separate"/>
          </w:r>
          <w:r>
            <w:rPr>
              <w:rStyle w:val="13"/>
            </w:rPr>
            <w:t>5. AAA级诚信经营示范单位证书</w:t>
          </w:r>
          <w:r>
            <w:tab/>
          </w:r>
          <w:r>
            <w:fldChar w:fldCharType="begin"/>
          </w:r>
          <w:r>
            <w:instrText xml:space="preserve"> PAGEREF _Toc120891626 \h </w:instrText>
          </w:r>
          <w:r>
            <w:fldChar w:fldCharType="separate"/>
          </w:r>
          <w:r>
            <w:t>52</w:t>
          </w:r>
          <w:r>
            <w:fldChar w:fldCharType="end"/>
          </w:r>
          <w:r>
            <w:fldChar w:fldCharType="end"/>
          </w:r>
        </w:p>
        <w:p>
          <w:pPr>
            <w:pStyle w:val="21"/>
            <w:tabs>
              <w:tab w:val="right" w:leader="dot" w:pos="9060"/>
            </w:tabs>
            <w:ind w:left="960"/>
            <w:rPr>
              <w:rFonts w:asciiTheme="minorHAnsi" w:hAnsiTheme="minorHAnsi" w:eastAsiaTheme="minorEastAsia"/>
              <w:sz w:val="21"/>
            </w:rPr>
          </w:pPr>
          <w:r>
            <w:fldChar w:fldCharType="begin"/>
          </w:r>
          <w:r>
            <w:instrText xml:space="preserve"> HYPERLINK \l "_Toc120891627" </w:instrText>
          </w:r>
          <w:r>
            <w:fldChar w:fldCharType="separate"/>
          </w:r>
          <w:r>
            <w:rPr>
              <w:rStyle w:val="13"/>
              <w:rFonts w:cstheme="majorBidi"/>
            </w:rPr>
            <w:t>6.</w:t>
          </w:r>
          <w:r>
            <w:rPr>
              <w:rStyle w:val="13"/>
            </w:rPr>
            <w:t xml:space="preserve"> AAA级诚信供应商证书</w:t>
          </w:r>
          <w:r>
            <w:tab/>
          </w:r>
          <w:r>
            <w:fldChar w:fldCharType="begin"/>
          </w:r>
          <w:r>
            <w:instrText xml:space="preserve"> PAGEREF _Toc120891627 \h </w:instrText>
          </w:r>
          <w:r>
            <w:fldChar w:fldCharType="separate"/>
          </w:r>
          <w:r>
            <w:t>53</w:t>
          </w:r>
          <w:r>
            <w:fldChar w:fldCharType="end"/>
          </w:r>
          <w:r>
            <w:fldChar w:fldCharType="end"/>
          </w:r>
        </w:p>
        <w:p>
          <w:pPr>
            <w:pStyle w:val="19"/>
            <w:tabs>
              <w:tab w:val="right" w:leader="dot" w:pos="9060"/>
            </w:tabs>
            <w:rPr>
              <w:rFonts w:asciiTheme="minorHAnsi" w:hAnsiTheme="minorHAnsi" w:eastAsiaTheme="minorEastAsia"/>
              <w:sz w:val="21"/>
            </w:rPr>
          </w:pPr>
          <w:r>
            <w:fldChar w:fldCharType="begin"/>
          </w:r>
          <w:r>
            <w:instrText xml:space="preserve"> HYPERLINK \l "_Toc120891628" </w:instrText>
          </w:r>
          <w:r>
            <w:fldChar w:fldCharType="separate"/>
          </w:r>
          <w:r>
            <w:rPr>
              <w:rStyle w:val="13"/>
              <w:rFonts w:cstheme="majorBidi"/>
            </w:rPr>
            <w:t>八、</w:t>
          </w:r>
          <w:r>
            <w:rPr>
              <w:rStyle w:val="13"/>
            </w:rPr>
            <w:t xml:space="preserve"> 部分业绩</w:t>
          </w:r>
          <w:r>
            <w:tab/>
          </w:r>
          <w:r>
            <w:fldChar w:fldCharType="begin"/>
          </w:r>
          <w:r>
            <w:instrText xml:space="preserve"> PAGEREF _Toc120891628 \h </w:instrText>
          </w:r>
          <w:r>
            <w:fldChar w:fldCharType="separate"/>
          </w:r>
          <w:r>
            <w:t>54</w:t>
          </w:r>
          <w:r>
            <w:fldChar w:fldCharType="end"/>
          </w:r>
          <w:r>
            <w:fldChar w:fldCharType="end"/>
          </w:r>
        </w:p>
        <w:p>
          <w:r>
            <w:rPr>
              <w:b/>
              <w:bCs/>
              <w:lang w:val="zh-CN"/>
            </w:rPr>
            <w:fldChar w:fldCharType="end"/>
          </w:r>
        </w:p>
      </w:sdtContent>
    </w:sdt>
    <w:p>
      <w:pPr>
        <w:rPr>
          <w:sz w:val="84"/>
          <w:szCs w:val="84"/>
        </w:rPr>
        <w:sectPr>
          <w:headerReference r:id="rId5" w:type="default"/>
          <w:footerReference r:id="rId6" w:type="default"/>
          <w:pgSz w:w="11906" w:h="16838"/>
          <w:pgMar w:top="1559" w:right="991" w:bottom="1134" w:left="1418" w:header="1417" w:footer="850" w:gutter="0"/>
          <w:pgNumType w:start="1"/>
          <w:cols w:space="425" w:num="1"/>
          <w:docGrid w:type="lines" w:linePitch="326" w:charSpace="0"/>
        </w:sectPr>
      </w:pPr>
    </w:p>
    <w:p>
      <w:pPr>
        <w:pStyle w:val="2"/>
      </w:pPr>
      <w:bookmarkStart w:id="0" w:name="_Toc120891597"/>
      <w:r>
        <w:rPr>
          <w:rFonts w:hint="eastAsia"/>
        </w:rPr>
        <w:t>富士电梯制造（惠州）有限公司简介</w:t>
      </w:r>
      <w:bookmarkEnd w:id="0"/>
    </w:p>
    <w:p>
      <w:pPr>
        <w:ind w:firstLine="484" w:firstLineChars="67"/>
        <w:jc w:val="center"/>
        <w:rPr>
          <w:b/>
          <w:bCs/>
          <w:color w:val="F8CBAD" w:themeColor="accent2" w:themeTint="66"/>
          <w:sz w:val="72"/>
          <w:szCs w:val="72"/>
          <w14:textOutline w14:w="11112" w14:cap="flat" w14:cmpd="sng" w14:algn="ctr">
            <w14:solidFill>
              <w14:schemeClr w14:val="accent2"/>
            </w14:solidFill>
            <w14:prstDash w14:val="solid"/>
            <w14:round/>
          </w14:textOutline>
          <w14:textFill>
            <w14:solidFill>
              <w14:schemeClr w14:val="accent2">
                <w14:lumMod w14:val="40000"/>
                <w14:lumOff w14:val="60000"/>
              </w14:schemeClr>
            </w14:solidFill>
          </w14:textFill>
        </w:rPr>
      </w:pPr>
      <w:r>
        <w:rPr>
          <w:rFonts w:hint="eastAsia"/>
          <w:b/>
          <w:bCs/>
          <w:color w:val="F8CBAD" w:themeColor="accent2" w:themeTint="66"/>
          <w:sz w:val="72"/>
          <w:szCs w:val="72"/>
          <w14:textOutline w14:w="11112" w14:cap="flat" w14:cmpd="sng" w14:algn="ctr">
            <w14:solidFill>
              <w14:schemeClr w14:val="accent2"/>
            </w14:solidFill>
            <w14:prstDash w14:val="solid"/>
            <w14:round/>
          </w14:textOutline>
          <w14:textFill>
            <w14:solidFill>
              <w14:schemeClr w14:val="accent2">
                <w14:lumMod w14:val="40000"/>
                <w14:lumOff w14:val="60000"/>
              </w14:schemeClr>
            </w14:solidFill>
          </w14:textFill>
        </w:rPr>
        <w:t>企业简介</w:t>
      </w:r>
    </w:p>
    <w:p>
      <w:pPr>
        <w:spacing w:line="240" w:lineRule="auto"/>
        <w:ind w:firstLine="720" w:firstLineChars="300"/>
      </w:pPr>
      <w:r>
        <w:rPr>
          <w:rFonts w:hint="eastAsia"/>
        </w:rPr>
        <w:t>富士电梯制造（惠州）有限公司座落于广东省旅游胜地罗浮山脚下惠州市博罗县</w:t>
      </w:r>
    </w:p>
    <w:p>
      <w:pPr>
        <w:pStyle w:val="14"/>
        <w:widowControl/>
        <w:spacing w:before="150" w:beforeAutospacing="0" w:after="300" w:afterAutospacing="0" w:line="360" w:lineRule="auto"/>
        <w:ind w:left="150"/>
        <w:rPr>
          <w:rFonts w:ascii="宋体" w:hAnsi="宋体" w:cs="宋体"/>
          <w:bCs/>
        </w:rPr>
      </w:pPr>
      <w:r>
        <w:rPr>
          <w:rFonts w:hint="eastAsia" w:ascii="宋体" w:hAnsi="宋体" w:cs="宋体"/>
          <w:bCs/>
        </w:rPr>
        <w:t>石湾镇，毗邻东莞市十分钟车程，毗邻广州市15分钟车程，东西走向有广惠高速，南北走向有从莞深高速，交通十分便利。</w:t>
      </w:r>
    </w:p>
    <w:p>
      <w:pPr>
        <w:pStyle w:val="14"/>
        <w:widowControl/>
        <w:spacing w:before="150" w:beforeAutospacing="0" w:after="300" w:afterAutospacing="0" w:line="360" w:lineRule="auto"/>
        <w:ind w:left="150" w:firstLine="480" w:firstLineChars="200"/>
        <w:rPr>
          <w:rFonts w:ascii="宋体" w:hAnsi="宋体" w:cs="宋体"/>
          <w:bCs/>
        </w:rPr>
      </w:pPr>
      <w:r>
        <w:rPr>
          <w:rFonts w:hint="eastAsia" w:ascii="宋体" w:hAnsi="宋体" w:cs="宋体"/>
          <w:bCs/>
        </w:rPr>
        <w:t>本公司是一家颇具规模的外资电梯生产企业，集电梯设计、生产、销售、安装、维保、改造一条龙服务。本公司大股东“富士重工机电（香港）有限公司”是“日本富士”于2005年设立在香港的全资公司，其与“惠州市富士电梯集团有限公司”已合作17年之久。本公司已通过GB/T 19001-2016 ibt ISO 9001:2015质量管理体系认证、GB/T 24001-2016 ibt ISO 14001:2015环保管理体系认证、GB/T 45001-2020 ibt ISO 45001:2018职业健康安全管理体系认证。2022年分别荣获“重服务守信用证书AAA级”、“重合同守信用证书AAA级”、“重质量守信用证书AAA级”、“立信单位证书AAA级”、“企业信用等级证书AAA级”、“企业资信等级证书AAA级”、“诚信经营示范单位证书AAA级”“诚信供应商证书AAA级”。公司创办人麦伟杰先生也荣获“诚信企业家证书AAA级”、“诚信经理人证书”等众多荣誉。</w:t>
      </w:r>
    </w:p>
    <w:p>
      <w:pPr>
        <w:pStyle w:val="14"/>
        <w:widowControl/>
        <w:spacing w:before="150" w:beforeAutospacing="0" w:after="300" w:afterAutospacing="0" w:line="360" w:lineRule="auto"/>
        <w:ind w:left="150"/>
        <w:rPr>
          <w:rFonts w:ascii="宋体" w:hAnsi="宋体" w:cs="宋体"/>
          <w:bCs/>
        </w:rPr>
      </w:pPr>
      <w:r>
        <w:rPr>
          <w:rFonts w:hint="eastAsia" w:ascii="宋体" w:hAnsi="宋体" w:cs="宋体"/>
          <w:bCs/>
        </w:rPr>
        <w:t>   本公司拥有一支经验丰富、技术过硬的专业设计、生产安装、维修保养团队，可根据客户的个性化要求，设计、生产各种国标、非标电梯来满足客户的多样化需求。本公司产品设计合理、安全舒适、工艺先进，并建立了完整的质量管理保证体系，主要产品有:乘客电梯、医用电梯、无机房电梯、客货两用电梯、观光电梯、别墅电梯、自动人行道、自动扶梯等。</w:t>
      </w:r>
    </w:p>
    <w:p>
      <w:pPr>
        <w:pStyle w:val="14"/>
        <w:widowControl/>
        <w:spacing w:before="150" w:beforeAutospacing="0" w:after="300" w:afterAutospacing="0" w:line="360" w:lineRule="auto"/>
        <w:ind w:left="150"/>
        <w:rPr>
          <w:rFonts w:ascii="宋体" w:hAnsi="宋体" w:cs="宋体"/>
          <w:bCs/>
        </w:rPr>
      </w:pPr>
      <w:r>
        <w:rPr>
          <w:rFonts w:hint="eastAsia" w:ascii="宋体" w:hAnsi="宋体" w:cs="宋体"/>
          <w:bCs/>
        </w:rPr>
        <w:t>   本公司推行先进的现代企业管理制度，建立了完善的现代化企业管理体制。全体富士人本着“锲而不舍，精益求精”的精神，在电梯行业精耕细作、不断开拓创新产品线，以满足客户的多样化需求，并不断强化售后服务团队的服务意识和服务精神，从而保证给到客户超值服务。</w:t>
      </w:r>
    </w:p>
    <w:p>
      <w:pPr>
        <w:pStyle w:val="14"/>
        <w:widowControl/>
        <w:spacing w:before="150" w:beforeAutospacing="0" w:after="300" w:afterAutospacing="0" w:line="360" w:lineRule="auto"/>
        <w:ind w:left="150"/>
        <w:rPr>
          <w:b/>
          <w:bCs/>
          <w:sz w:val="28"/>
          <w:szCs w:val="28"/>
        </w:rPr>
      </w:pPr>
      <w:r>
        <w:rPr>
          <w:rFonts w:hint="eastAsia" w:ascii="宋体" w:hAnsi="宋体" w:cs="宋体"/>
          <w:bCs/>
        </w:rPr>
        <w:t>九万里风鹏正举，富士公司这艘巨轮在麦伟杰董事长的带领下正劈涛斩浪、迎风远</w:t>
      </w:r>
    </w:p>
    <w:p>
      <w:r>
        <w:rPr>
          <w:rFonts w:hint="eastAsia"/>
        </w:rPr>
        <w:t>★企业文化：</w:t>
      </w:r>
    </w:p>
    <w:p>
      <w:pPr>
        <w:spacing w:before="163" w:beforeLines="50" w:line="240" w:lineRule="auto"/>
        <w:rPr>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愿景：</w:t>
      </w:r>
      <w:r>
        <w:rPr>
          <w:rFonts w:hint="eastAsia"/>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做中国电梯行业的领航者！</w:t>
      </w:r>
    </w:p>
    <w:p>
      <w:pPr>
        <w:spacing w:before="163" w:beforeLines="50" w:line="240" w:lineRule="auto"/>
        <w:rPr>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经营理念：</w:t>
      </w:r>
      <w:r>
        <w:rPr>
          <w:rFonts w:hint="eastAsia"/>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工作精益求精，服务诚信可靠！</w:t>
      </w:r>
    </w:p>
    <w:p>
      <w:pPr>
        <w:spacing w:before="163" w:beforeLines="50" w:line="240" w:lineRule="auto"/>
        <w:rPr>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价值观：</w:t>
      </w:r>
      <w:r>
        <w:rPr>
          <w:rFonts w:hint="eastAsia"/>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爱国 敬业 学习 创新 和谐 共赢！</w:t>
      </w:r>
    </w:p>
    <w:p>
      <w:pPr>
        <w:spacing w:before="163" w:beforeLines="50" w:line="240" w:lineRule="auto"/>
        <w:rPr>
          <w:rFonts w:ascii="黑体" w:eastAsia="黑体"/>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口号：</w:t>
      </w:r>
      <w:r>
        <w:rPr>
          <w:rFonts w:hint="eastAsia"/>
          <w:bCs/>
          <w:outline/>
          <w:color w:val="000000" w:themeColor="text1"/>
          <w:sz w:val="28"/>
          <w:szCs w:val="28"/>
          <w14:shadow w14:blurRad="38100" w14:dist="19050" w14:dir="2700000" w14:sx="100000" w14:sy="100000" w14:kx="0" w14:ky="0" w14:algn="tl">
            <w14:schemeClr w14:val="dk1">
              <w14:alpha w14:val="60000"/>
            </w14:schemeClr>
          </w14:shadow>
          <w14:textFill>
            <w14:solidFill>
              <w14:schemeClr w14:val="tx1"/>
            </w14:solidFill>
          </w14:textFill>
        </w:rPr>
        <w:t>富士精神  贵在认真！</w:t>
      </w:r>
    </w:p>
    <w:p>
      <w:pPr>
        <w:widowControl/>
        <w:adjustRightInd/>
        <w:snapToGrid/>
        <w:spacing w:line="240" w:lineRule="auto"/>
        <w:jc w:val="left"/>
        <w:rPr>
          <w:rFonts w:cs="Times New Roman"/>
          <w:bCs/>
          <w:sz w:val="28"/>
          <w:szCs w:val="28"/>
        </w:rPr>
      </w:pPr>
      <w:r>
        <w:rPr>
          <w:rFonts w:cs="Times New Roman"/>
          <w:bCs/>
          <w:sz w:val="28"/>
          <w:szCs w:val="28"/>
        </w:rPr>
        <w:br w:type="page"/>
      </w:r>
    </w:p>
    <w:p>
      <w:pPr>
        <w:ind w:firstLine="420"/>
        <w:jc w:val="center"/>
        <w:rPr>
          <w:rFonts w:cs="Times New Roman"/>
          <w:bCs/>
          <w:sz w:val="28"/>
          <w:szCs w:val="28"/>
        </w:rPr>
      </w:pPr>
      <w:bookmarkStart w:id="1" w:name="_Hlk120899658"/>
      <w:r>
        <w:rPr>
          <w:rFonts w:hint="eastAsia" w:ascii="微软雅黑" w:hAnsi="微软雅黑" w:eastAsia="微软雅黑"/>
          <w:color w:val="333333"/>
          <w:sz w:val="36"/>
          <w:szCs w:val="36"/>
        </w:rPr>
        <w:t>Company profile</w:t>
      </w:r>
    </w:p>
    <w:p>
      <w:pPr>
        <w:ind w:firstLine="420"/>
        <w:rPr>
          <w:rFonts w:cs="Times New Roman"/>
          <w:b/>
          <w:bCs/>
          <w:sz w:val="28"/>
          <w:szCs w:val="28"/>
        </w:rPr>
      </w:pPr>
      <w:r>
        <w:rPr>
          <w:rFonts w:cs="Times New Roman"/>
          <w:bCs/>
          <w:sz w:val="28"/>
          <w:szCs w:val="28"/>
        </w:rPr>
        <w:t>Fuji (H</w:t>
      </w:r>
      <w:r>
        <w:rPr>
          <w:rFonts w:hint="eastAsia" w:cs="Times New Roman"/>
          <w:bCs/>
          <w:sz w:val="28"/>
          <w:szCs w:val="28"/>
        </w:rPr>
        <w:t>uizhou</w:t>
      </w:r>
      <w:r>
        <w:rPr>
          <w:rFonts w:cs="Times New Roman"/>
          <w:bCs/>
          <w:sz w:val="28"/>
          <w:szCs w:val="28"/>
        </w:rPr>
        <w:t xml:space="preserve">) Industrial Design Limited is located in Shiwan Town, </w:t>
      </w:r>
      <w:bookmarkEnd w:id="1"/>
      <w:bookmarkStart w:id="2" w:name="_Hlk120899694"/>
      <w:r>
        <w:rPr>
          <w:rFonts w:cs="Times New Roman"/>
          <w:bCs/>
          <w:sz w:val="28"/>
          <w:szCs w:val="28"/>
        </w:rPr>
        <w:t>Boluo County, Huizhou City,</w:t>
      </w:r>
      <w:bookmarkEnd w:id="2"/>
      <w:r>
        <w:rPr>
          <w:rFonts w:cs="Times New Roman"/>
          <w:bCs/>
          <w:sz w:val="28"/>
          <w:szCs w:val="28"/>
        </w:rPr>
        <w:t xml:space="preserve"> at the foot of Guangdong Province's tourism destination, Luofu Mountain. It is a 10-minute drive from Dongguan and a 15-minute drive from Guangzhou. Because the Guanghui Expressway runs east-west and the Guanshen Expressway runs north-south, traffic is quite convenient.</w:t>
      </w:r>
    </w:p>
    <w:p>
      <w:pPr>
        <w:ind w:firstLine="420"/>
        <w:rPr>
          <w:rFonts w:cs="Times New Roman"/>
          <w:b/>
          <w:bCs/>
          <w:sz w:val="28"/>
          <w:szCs w:val="28"/>
        </w:rPr>
      </w:pPr>
      <w:r>
        <w:rPr>
          <w:rFonts w:cs="Times New Roman"/>
          <w:bCs/>
          <w:sz w:val="28"/>
          <w:szCs w:val="28"/>
        </w:rPr>
        <w:t>Fuji is a large-scale, foreign-funded elevator manufacturer that offers complete elevator design, production, sales, installation, maintenance, and refurbishment services. Fuji Machinery Electron (H.K.) Limited is a wholly-owned subsidiary of Fuji Japan that was created in Hong Kong in 2005. For the past 17 years, it has worked with Fuji Elevator Group Co., Ltd. of Huizhou City. Our organisation has received certification for GB/T 19001-2016 ibt ISO 9001:2015 quality management system, GB/T 24001-2016 ibt ISO 14001:2015 environmental protection management system, and GB/T 45001-2020 ibt ISO 45001:2018 occupational health and safety management system. In 2022, it received AAA certificates of service and trustworthiness, AAA certificates of contract and trustworthiness, AAA certificates of quality and trustworthiness, AAA certificates of enterprise credit rating, AAA certificates of enterprise credit rating, AAA certificates of integrity management demonstration unit, and AAA certificates of integrity supplier. Mr. Mai Weijie, the company's creator, has also received numerous awards, including the "AAA Certificate of Honest Entrepreneur" and the "Certificate of Honest Manager."</w:t>
      </w:r>
    </w:p>
    <w:p>
      <w:pPr>
        <w:ind w:firstLine="420"/>
        <w:rPr>
          <w:rFonts w:cs="Times New Roman"/>
          <w:b/>
          <w:bCs/>
          <w:sz w:val="28"/>
          <w:szCs w:val="28"/>
        </w:rPr>
      </w:pPr>
      <w:r>
        <w:rPr>
          <w:rFonts w:cs="Times New Roman"/>
          <w:bCs/>
          <w:sz w:val="28"/>
          <w:szCs w:val="28"/>
        </w:rPr>
        <w:t>Our firm has an experienced and talented professional design, production, installation, and maintenance staff that can design and construct all types of national standard and non-standard elevators to fulfil the diverse needs of customers based on their specific needs. Our company's product design is reasonable, safe, and pleasant, with sophisticated technology, and a full quality management guarantee system has been built. Passenger elevators, medical elevators, elevators without a machine room, passenger and freight elevators, sightseeing elevators, villa elevators, moving walkways, escalators, and so on are the major goods.</w:t>
      </w:r>
    </w:p>
    <w:p>
      <w:pPr>
        <w:ind w:firstLine="420"/>
        <w:rPr>
          <w:rFonts w:cs="Times New Roman"/>
          <w:b/>
          <w:bCs/>
          <w:sz w:val="28"/>
          <w:szCs w:val="28"/>
        </w:rPr>
      </w:pPr>
      <w:r>
        <w:rPr>
          <w:rFonts w:cs="Times New Roman"/>
          <w:bCs/>
          <w:sz w:val="28"/>
          <w:szCs w:val="28"/>
        </w:rPr>
        <w:t>Our organisation has developed a superb modern enterprise management system by implementing advanced modern enterprise management systems. Based on the spirit of "perseverance and excellence," all Fuji employees have worked tirelessly in the elevator industry, constantly developing innovative product lines to meet the diverse needs of customers, and constantly strengthening the service consciousness and spirit of the after-sales service team to ensure that they can provide value-added services to customers.</w:t>
      </w:r>
    </w:p>
    <w:p>
      <w:pPr>
        <w:rPr>
          <w:rFonts w:cs="Times New Roman"/>
          <w:b/>
          <w:bCs/>
          <w:sz w:val="28"/>
          <w:szCs w:val="28"/>
        </w:rPr>
      </w:pPr>
      <w:r>
        <w:rPr>
          <w:rFonts w:cs="Times New Roman"/>
          <w:bCs/>
          <w:sz w:val="28"/>
          <w:szCs w:val="28"/>
        </w:rPr>
        <w:t>Wan Li Jiufengpeng is acting correctly. This great ship of Fuji Company is sailing in the wind under the leadership of Chairman Mai Weijie, and I hope it will grow and flourish in the near future, releasing even more vitality!</w:t>
      </w:r>
    </w:p>
    <w:p>
      <w:pPr>
        <w:rPr>
          <w:rFonts w:cs="Times New Roman"/>
          <w:b/>
          <w:bCs/>
          <w:sz w:val="28"/>
          <w:szCs w:val="28"/>
        </w:rPr>
      </w:pPr>
    </w:p>
    <w:p>
      <w:pPr>
        <w:rPr>
          <w:rFonts w:cs="Times New Roman"/>
          <w:b/>
          <w:bCs/>
          <w:sz w:val="28"/>
          <w:szCs w:val="28"/>
        </w:rPr>
      </w:pPr>
      <w:r>
        <w:rPr>
          <w:rFonts w:cs="Times New Roman"/>
          <w:bCs/>
          <w:sz w:val="28"/>
          <w:szCs w:val="28"/>
        </w:rPr>
        <w:t>Enterprise Culture (business culture):</w:t>
      </w:r>
    </w:p>
    <w:p>
      <w:pPr>
        <w:rPr>
          <w:rFonts w:cs="Times New Roman"/>
          <w:b/>
          <w:bCs/>
          <w:sz w:val="28"/>
          <w:szCs w:val="28"/>
        </w:rPr>
      </w:pPr>
      <w:r>
        <w:rPr>
          <w:rFonts w:cs="Times New Roman"/>
          <w:bCs/>
          <w:sz w:val="28"/>
          <w:szCs w:val="28"/>
        </w:rPr>
        <w:t>Vision: To be the elevator industry's leader in China!</w:t>
      </w:r>
    </w:p>
    <w:p>
      <w:pPr>
        <w:rPr>
          <w:rFonts w:cs="Times New Roman"/>
          <w:b/>
          <w:bCs/>
          <w:sz w:val="28"/>
          <w:szCs w:val="28"/>
        </w:rPr>
      </w:pPr>
      <w:r>
        <w:rPr>
          <w:rFonts w:cs="Times New Roman"/>
          <w:bCs/>
          <w:sz w:val="28"/>
          <w:szCs w:val="28"/>
        </w:rPr>
        <w:t>Business philosophy: aim for excellence in all aspects of your business and deliver honest and dependable service!</w:t>
      </w:r>
    </w:p>
    <w:p>
      <w:pPr>
        <w:rPr>
          <w:rFonts w:cs="Times New Roman"/>
          <w:b/>
          <w:bCs/>
          <w:sz w:val="28"/>
          <w:szCs w:val="28"/>
        </w:rPr>
      </w:pPr>
      <w:r>
        <w:rPr>
          <w:rFonts w:hint="eastAsia" w:cs="Times New Roman"/>
          <w:bCs/>
          <w:sz w:val="28"/>
          <w:szCs w:val="28"/>
        </w:rPr>
        <w:t>V</w:t>
      </w:r>
      <w:r>
        <w:rPr>
          <w:rFonts w:cs="Times New Roman"/>
          <w:bCs/>
          <w:sz w:val="28"/>
          <w:szCs w:val="28"/>
        </w:rPr>
        <w:t>alues</w:t>
      </w:r>
      <w:r>
        <w:rPr>
          <w:rFonts w:hint="eastAsia" w:cs="Times New Roman"/>
          <w:bCs/>
          <w:sz w:val="28"/>
          <w:szCs w:val="28"/>
        </w:rPr>
        <w:t xml:space="preserve"> : </w:t>
      </w:r>
      <w:r>
        <w:rPr>
          <w:rFonts w:cs="Times New Roman"/>
          <w:bCs/>
          <w:sz w:val="28"/>
          <w:szCs w:val="28"/>
        </w:rPr>
        <w:t>Patriotism, dedication, learning, innovation, harmony, and win-win !</w:t>
      </w:r>
    </w:p>
    <w:p>
      <w:pPr>
        <w:rPr>
          <w:rFonts w:cs="Times New Roman"/>
          <w:b/>
          <w:bCs/>
          <w:sz w:val="28"/>
          <w:szCs w:val="28"/>
        </w:rPr>
      </w:pPr>
      <w:r>
        <w:rPr>
          <w:rFonts w:cs="Times New Roman"/>
          <w:bCs/>
          <w:sz w:val="28"/>
          <w:szCs w:val="28"/>
        </w:rPr>
        <w:t>Slogan: The spirit of Fuji is serious!</w:t>
      </w:r>
    </w:p>
    <w:p>
      <w:pPr>
        <w:widowControl/>
        <w:adjustRightInd/>
        <w:snapToGrid/>
        <w:spacing w:line="240" w:lineRule="auto"/>
        <w:jc w:val="left"/>
        <w:rPr>
          <w:rFonts w:cs="Times New Roman"/>
          <w:bCs/>
          <w:sz w:val="28"/>
          <w:szCs w:val="28"/>
        </w:rPr>
      </w:pPr>
      <w:r>
        <w:rPr>
          <w:rFonts w:cs="Times New Roman"/>
          <w:bCs/>
          <w:sz w:val="28"/>
          <w:szCs w:val="28"/>
        </w:rPr>
        <w:br w:type="page"/>
      </w:r>
    </w:p>
    <w:p>
      <w:pPr>
        <w:pStyle w:val="3"/>
      </w:pPr>
      <w:r>
        <w:drawing>
          <wp:anchor distT="0" distB="0" distL="114300" distR="114300" simplePos="0" relativeHeight="251692032" behindDoc="1" locked="0" layoutInCell="1" allowOverlap="1">
            <wp:simplePos x="0" y="0"/>
            <wp:positionH relativeFrom="margin">
              <wp:align>left</wp:align>
            </wp:positionH>
            <wp:positionV relativeFrom="paragraph">
              <wp:posOffset>384810</wp:posOffset>
            </wp:positionV>
            <wp:extent cx="5759450" cy="4072255"/>
            <wp:effectExtent l="0" t="0" r="0" b="4445"/>
            <wp:wrapNone/>
            <wp:docPr id="36" name="图片 36"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示&#10;&#10;描述已自动生成"/>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759450" cy="4072255"/>
                    </a:xfrm>
                    <a:prstGeom prst="rect">
                      <a:avLst/>
                    </a:prstGeom>
                    <a:noFill/>
                    <a:ln>
                      <a:noFill/>
                    </a:ln>
                  </pic:spPr>
                </pic:pic>
              </a:graphicData>
            </a:graphic>
          </wp:anchor>
        </w:drawing>
      </w:r>
      <w:r>
        <w:rPr>
          <w:rFonts w:hint="eastAsia"/>
        </w:rPr>
        <w:t>轿厢样式</w:t>
      </w:r>
    </w:p>
    <w:p>
      <w:pPr>
        <w:rPr>
          <w:rFonts w:cs="Times New Roman"/>
          <w:b/>
          <w:bCs/>
          <w:sz w:val="28"/>
          <w:szCs w:val="28"/>
        </w:rPr>
      </w:pPr>
      <w:r>
        <w:drawing>
          <wp:anchor distT="0" distB="0" distL="114300" distR="114300" simplePos="0" relativeHeight="251691008" behindDoc="1" locked="0" layoutInCell="1" allowOverlap="1">
            <wp:simplePos x="0" y="0"/>
            <wp:positionH relativeFrom="column">
              <wp:posOffset>23495</wp:posOffset>
            </wp:positionH>
            <wp:positionV relativeFrom="paragraph">
              <wp:posOffset>3888740</wp:posOffset>
            </wp:positionV>
            <wp:extent cx="5759450" cy="4072255"/>
            <wp:effectExtent l="0" t="0" r="0" b="4445"/>
            <wp:wrapNone/>
            <wp:docPr id="35" name="图片 35"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包含 图形用户界面&#10;&#10;描述已自动生成"/>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759450" cy="4072255"/>
                    </a:xfrm>
                    <a:prstGeom prst="rect">
                      <a:avLst/>
                    </a:prstGeom>
                    <a:noFill/>
                    <a:ln>
                      <a:noFill/>
                    </a:ln>
                  </pic:spPr>
                </pic:pic>
              </a:graphicData>
            </a:graphic>
          </wp:anchor>
        </w:drawing>
      </w:r>
      <w:r>
        <w:rPr>
          <w:b/>
          <w:bCs/>
          <w:sz w:val="84"/>
          <w:szCs w:val="84"/>
        </w:rPr>
        <w:br w:type="page"/>
      </w:r>
    </w:p>
    <w:p>
      <w:pPr>
        <w:widowControl/>
        <w:adjustRightInd/>
        <w:snapToGrid/>
        <w:spacing w:line="240" w:lineRule="auto"/>
        <w:jc w:val="left"/>
        <w:rPr>
          <w:b/>
          <w:bCs/>
          <w:kern w:val="44"/>
          <w:sz w:val="44"/>
          <w:szCs w:val="44"/>
        </w:rPr>
      </w:pPr>
      <w:bookmarkStart w:id="3" w:name="_Toc120891598"/>
      <w:r>
        <w:drawing>
          <wp:anchor distT="0" distB="0" distL="114300" distR="114300" simplePos="0" relativeHeight="251694080" behindDoc="1" locked="0" layoutInCell="1" allowOverlap="1">
            <wp:simplePos x="0" y="0"/>
            <wp:positionH relativeFrom="column">
              <wp:posOffset>-205105</wp:posOffset>
            </wp:positionH>
            <wp:positionV relativeFrom="paragraph">
              <wp:posOffset>4688840</wp:posOffset>
            </wp:positionV>
            <wp:extent cx="5759450" cy="3875405"/>
            <wp:effectExtent l="19050" t="19050" r="12700" b="10795"/>
            <wp:wrapNone/>
            <wp:docPr id="38" name="图片 38"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形用户界面, 应用程序&#10;&#10;描述已自动生成"/>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59450" cy="3875405"/>
                    </a:xfrm>
                    <a:prstGeom prst="rect">
                      <a:avLst/>
                    </a:prstGeom>
                    <a:ln>
                      <a:solidFill>
                        <a:schemeClr val="tx1"/>
                      </a:solidFill>
                    </a:ln>
                  </pic:spPr>
                </pic:pic>
              </a:graphicData>
            </a:graphic>
          </wp:anchor>
        </w:drawing>
      </w:r>
      <w:r>
        <w:drawing>
          <wp:anchor distT="0" distB="0" distL="114300" distR="114300" simplePos="0" relativeHeight="251693056" behindDoc="1" locked="0" layoutInCell="1" allowOverlap="1">
            <wp:simplePos x="0" y="0"/>
            <wp:positionH relativeFrom="margin">
              <wp:posOffset>-196850</wp:posOffset>
            </wp:positionH>
            <wp:positionV relativeFrom="paragraph">
              <wp:posOffset>554990</wp:posOffset>
            </wp:positionV>
            <wp:extent cx="5759450" cy="4072255"/>
            <wp:effectExtent l="19050" t="19050" r="12700" b="23495"/>
            <wp:wrapNone/>
            <wp:docPr id="37" name="图片 37" descr="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网站&#10;&#10;描述已自动生成"/>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759450" cy="4072255"/>
                    </a:xfrm>
                    <a:prstGeom prst="rect">
                      <a:avLst/>
                    </a:prstGeom>
                    <a:noFill/>
                    <a:ln>
                      <a:solidFill>
                        <a:schemeClr val="tx1"/>
                      </a:solidFill>
                    </a:ln>
                  </pic:spPr>
                </pic:pic>
              </a:graphicData>
            </a:graphic>
          </wp:anchor>
        </w:drawing>
      </w:r>
      <w:r>
        <w:br w:type="page"/>
      </w:r>
    </w:p>
    <w:p>
      <w:pPr>
        <w:pStyle w:val="2"/>
      </w:pPr>
      <w:r>
        <w:rPr>
          <w:rFonts w:hint="eastAsia"/>
        </w:rPr>
        <w:t>报价函</w:t>
      </w:r>
      <w:bookmarkEnd w:id="3"/>
    </w:p>
    <w:p>
      <w:pPr>
        <w:pStyle w:val="3"/>
      </w:pPr>
      <w:bookmarkStart w:id="4" w:name="_Toc120891599"/>
      <w:r>
        <w:rPr>
          <w:rFonts w:hint="eastAsia"/>
        </w:rPr>
        <w:t>报价函</w:t>
      </w:r>
      <w:bookmarkEnd w:id="4"/>
    </w:p>
    <w:p>
      <w:pPr>
        <w:widowControl/>
        <w:jc w:val="left"/>
      </w:pPr>
      <w:r>
        <w:rPr>
          <w:rFonts w:hint="eastAsia" w:ascii="宋体" w:hAnsi="宋体" w:cs="宋体"/>
        </w:rPr>
        <w:t>工程名称：</w:t>
      </w:r>
      <w:r>
        <w:rPr>
          <w:rFonts w:hint="eastAsia" w:ascii="宋体" w:hAnsi="宋体" w:cs="宋体"/>
          <w:b/>
          <w:bCs/>
          <w:u w:val="single"/>
        </w:rPr>
        <w:t>东莞</w:t>
      </w:r>
      <w:r>
        <w:rPr>
          <w:rFonts w:hint="eastAsia" w:ascii="宋体" w:hAnsi="宋体" w:cs="宋体"/>
          <w:b/>
          <w:bCs/>
          <w:u w:val="single"/>
          <w:lang w:val="en-US" w:eastAsia="zh-CN"/>
        </w:rPr>
        <w:t>..........</w:t>
      </w:r>
      <w:r>
        <w:rPr>
          <w:rFonts w:ascii="HYa6gj" w:hAnsi="HYa6gj" w:eastAsia="HYa6gj" w:cs="HYa6gj"/>
          <w:color w:val="000000"/>
          <w:kern w:val="0"/>
          <w:lang w:bidi="ar"/>
        </w:rPr>
        <w:t xml:space="preserve"> </w:t>
      </w:r>
    </w:p>
    <w:p>
      <w:pPr>
        <w:ind w:firstLine="480" w:firstLineChars="200"/>
      </w:pPr>
      <w:r>
        <w:rPr>
          <w:rFonts w:hint="eastAsia"/>
        </w:rPr>
        <w:t>1、经考察现场并研究上述工程的图纸、合同通用条件、专用条件、工程规范和工程量清单后，我方愿以人民币（大写）:</w:t>
      </w:r>
      <w:r>
        <w:rPr>
          <w:rFonts w:hint="eastAsia"/>
          <w:lang w:val="en-US" w:eastAsia="zh-CN"/>
        </w:rPr>
        <w:t xml:space="preserve"> </w:t>
      </w:r>
      <w:r>
        <w:rPr>
          <w:rFonts w:hint="eastAsia"/>
        </w:rPr>
        <w:t>佰</w:t>
      </w:r>
      <w:r>
        <w:rPr>
          <w:rFonts w:hint="eastAsia"/>
          <w:lang w:val="en-US" w:eastAsia="zh-CN"/>
        </w:rPr>
        <w:t xml:space="preserve"> </w:t>
      </w:r>
      <w:r>
        <w:rPr>
          <w:rFonts w:hint="eastAsia"/>
        </w:rPr>
        <w:t>拾</w:t>
      </w:r>
      <w:r>
        <w:rPr>
          <w:rFonts w:hint="eastAsia"/>
          <w:lang w:val="en-US" w:eastAsia="zh-CN"/>
        </w:rPr>
        <w:t xml:space="preserve"> </w:t>
      </w:r>
      <w:r>
        <w:rPr>
          <w:rFonts w:hint="eastAsia"/>
        </w:rPr>
        <w:t>万</w:t>
      </w:r>
      <w:r>
        <w:rPr>
          <w:rFonts w:hint="eastAsia"/>
          <w:lang w:val="en-US" w:eastAsia="zh-CN"/>
        </w:rPr>
        <w:t xml:space="preserve"> </w:t>
      </w:r>
      <w:r>
        <w:rPr>
          <w:rFonts w:hint="eastAsia"/>
        </w:rPr>
        <w:t>仟元整价格或按下述合同条件确定的其他价格，并按下述图纸、合同通用条件、专用条件、工程规范和工程量清单的条件要求承包上述工程的实施、竣工。</w:t>
      </w:r>
    </w:p>
    <w:p>
      <w:pPr>
        <w:ind w:firstLine="480" w:firstLineChars="200"/>
      </w:pPr>
      <w:r>
        <w:rPr>
          <w:rFonts w:hint="eastAsia"/>
        </w:rPr>
        <w:t>2.我方确认所提供的报价不低于施工成本价。</w:t>
      </w:r>
    </w:p>
    <w:p>
      <w:pPr>
        <w:ind w:firstLine="480" w:firstLineChars="200"/>
      </w:pPr>
      <w:r>
        <w:rPr>
          <w:rFonts w:hint="eastAsia"/>
        </w:rPr>
        <w:t xml:space="preserve">3.如果我方的报价被接纳，我方保证在 </w:t>
      </w:r>
      <w:r>
        <w:rPr>
          <w:rFonts w:hint="eastAsia"/>
          <w:u w:val="single"/>
        </w:rPr>
        <w:t xml:space="preserve"> 60  </w:t>
      </w:r>
      <w:r>
        <w:rPr>
          <w:rFonts w:hint="eastAsia"/>
        </w:rPr>
        <w:t>天内完成和交付本合同规定的全部工程。</w:t>
      </w:r>
    </w:p>
    <w:p>
      <w:pPr>
        <w:ind w:firstLine="480" w:firstLineChars="200"/>
      </w:pPr>
      <w:r>
        <w:rPr>
          <w:rFonts w:hint="eastAsia"/>
        </w:rPr>
        <w:t>4.我方同意我方报价函在规定的报价截止日期之后一天（含此天）起计的  30  天内对我方有约束力，在此有效内随时可被接纳。</w:t>
      </w:r>
    </w:p>
    <w:p/>
    <w:p>
      <w:r>
        <w:t>报价人：</w:t>
      </w:r>
      <w:r>
        <w:rPr>
          <w:rFonts w:hint="eastAsia"/>
        </w:rPr>
        <w:t xml:space="preserve">     </w:t>
      </w:r>
      <w:r>
        <w:t xml:space="preserve"> </w:t>
      </w:r>
      <w:r>
        <w:rPr>
          <w:rFonts w:hint="eastAsia"/>
        </w:rPr>
        <w:t xml:space="preserve">    </w:t>
      </w:r>
      <w:r>
        <w:t>电话：</w:t>
      </w:r>
    </w:p>
    <w:p/>
    <w:p>
      <w:r>
        <w:rPr>
          <w:rFonts w:hint="eastAsia"/>
        </w:rPr>
        <w:t>生产商：富士电梯制造（惠州）有限公司</w:t>
      </w:r>
    </w:p>
    <w:p>
      <w:r>
        <w:rPr>
          <w:rFonts w:hint="eastAsia"/>
        </w:rPr>
        <w:t xml:space="preserve">日期： </w:t>
      </w:r>
      <w:bookmarkStart w:id="5" w:name="_Toc238888601"/>
      <w:r>
        <w:rPr>
          <w:rFonts w:hint="eastAsia"/>
        </w:rPr>
        <w:t xml:space="preserve">   2022   年   11 月 30  日 </w:t>
      </w:r>
      <w:bookmarkEnd w:id="5"/>
    </w:p>
    <w:p>
      <w:pPr>
        <w:widowControl/>
        <w:adjustRightInd/>
        <w:snapToGrid/>
        <w:spacing w:line="240" w:lineRule="auto"/>
        <w:jc w:val="left"/>
        <w:rPr>
          <w:b/>
          <w:bCs/>
          <w:sz w:val="84"/>
          <w:szCs w:val="84"/>
        </w:rPr>
        <w:sectPr>
          <w:footerReference r:id="rId7" w:type="default"/>
          <w:pgSz w:w="11906" w:h="16838"/>
          <w:pgMar w:top="1559" w:right="1418" w:bottom="1134" w:left="1418" w:header="1417" w:footer="850" w:gutter="0"/>
          <w:pgNumType w:start="1"/>
          <w:cols w:space="425" w:num="1"/>
          <w:docGrid w:type="lines" w:linePitch="326" w:charSpace="0"/>
        </w:sectPr>
      </w:pPr>
    </w:p>
    <w:p>
      <w:pPr>
        <w:pStyle w:val="2"/>
      </w:pPr>
      <w:bookmarkStart w:id="6" w:name="_Toc120891600"/>
      <w:r>
        <w:rPr>
          <w:rFonts w:hint="eastAsia"/>
        </w:rPr>
        <w:t>投标报价汇总表</w:t>
      </w:r>
      <w:bookmarkEnd w:id="6"/>
    </w:p>
    <w:p>
      <w:r>
        <w:rPr>
          <w:rFonts w:hint="eastAsia"/>
        </w:rPr>
        <w:t xml:space="preserve">电梯类型、型号规格、载重、速度、层／站／门、数量：        </w:t>
      </w:r>
      <w:r>
        <w:t xml:space="preserve">                                     </w:t>
      </w:r>
      <w:r>
        <w:rPr>
          <w:rFonts w:hint="eastAsia"/>
        </w:rPr>
        <w:t xml:space="preserve"> 单位：（人民币）万元</w:t>
      </w:r>
    </w:p>
    <w:tbl>
      <w:tblPr>
        <w:tblStyle w:val="9"/>
        <w:tblpPr w:leftFromText="180" w:rightFromText="180" w:vertAnchor="text" w:horzAnchor="page" w:tblpX="595" w:tblpY="86"/>
        <w:tblOverlap w:val="never"/>
        <w:tblW w:w="145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560"/>
        <w:gridCol w:w="2551"/>
        <w:gridCol w:w="1843"/>
        <w:gridCol w:w="1755"/>
        <w:gridCol w:w="1427"/>
        <w:gridCol w:w="1440"/>
        <w:gridCol w:w="1440"/>
        <w:gridCol w:w="14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6" w:hRule="atLeast"/>
        </w:trPr>
        <w:tc>
          <w:tcPr>
            <w:tcW w:w="1129" w:type="dxa"/>
            <w:vAlign w:val="center"/>
          </w:tcPr>
          <w:p>
            <w:pPr>
              <w:spacing w:line="380" w:lineRule="exact"/>
            </w:pPr>
            <w:r>
              <w:rPr>
                <w:rFonts w:hint="eastAsia"/>
              </w:rPr>
              <w:t>序号</w:t>
            </w:r>
          </w:p>
        </w:tc>
        <w:tc>
          <w:tcPr>
            <w:tcW w:w="1560" w:type="dxa"/>
            <w:vAlign w:val="center"/>
          </w:tcPr>
          <w:p>
            <w:pPr>
              <w:spacing w:line="380" w:lineRule="exact"/>
              <w:jc w:val="center"/>
            </w:pPr>
            <w:r>
              <w:rPr>
                <w:rFonts w:hint="eastAsia"/>
              </w:rPr>
              <w:t>电梯类型</w:t>
            </w:r>
          </w:p>
        </w:tc>
        <w:tc>
          <w:tcPr>
            <w:tcW w:w="2551" w:type="dxa"/>
            <w:vAlign w:val="center"/>
          </w:tcPr>
          <w:p>
            <w:pPr>
              <w:spacing w:line="380" w:lineRule="exact"/>
              <w:jc w:val="center"/>
            </w:pPr>
            <w:r>
              <w:rPr>
                <w:rFonts w:hint="eastAsia"/>
              </w:rPr>
              <w:t>型</w:t>
            </w:r>
            <w:r>
              <w:t xml:space="preserve"> </w:t>
            </w:r>
            <w:r>
              <w:rPr>
                <w:rFonts w:hint="eastAsia"/>
              </w:rPr>
              <w:t>号</w:t>
            </w:r>
            <w:r>
              <w:t xml:space="preserve"> </w:t>
            </w:r>
            <w:r>
              <w:rPr>
                <w:rFonts w:hint="eastAsia"/>
              </w:rPr>
              <w:t>规</w:t>
            </w:r>
            <w:r>
              <w:t xml:space="preserve"> </w:t>
            </w:r>
            <w:r>
              <w:rPr>
                <w:rFonts w:hint="eastAsia"/>
              </w:rPr>
              <w:t>格</w:t>
            </w:r>
          </w:p>
        </w:tc>
        <w:tc>
          <w:tcPr>
            <w:tcW w:w="1843" w:type="dxa"/>
            <w:vAlign w:val="center"/>
          </w:tcPr>
          <w:p>
            <w:pPr>
              <w:spacing w:line="380" w:lineRule="exact"/>
              <w:jc w:val="center"/>
            </w:pPr>
            <w:r>
              <w:rPr>
                <w:rFonts w:hint="eastAsia"/>
              </w:rPr>
              <w:t>层/站/门</w:t>
            </w:r>
          </w:p>
        </w:tc>
        <w:tc>
          <w:tcPr>
            <w:tcW w:w="1755" w:type="dxa"/>
            <w:vAlign w:val="center"/>
          </w:tcPr>
          <w:p>
            <w:pPr>
              <w:widowControl/>
              <w:jc w:val="center"/>
            </w:pPr>
            <w:r>
              <w:rPr>
                <w:rFonts w:ascii="HYa6gj" w:hAnsi="HYa6gj" w:eastAsia="HYa6gj" w:cs="HYa6gj"/>
                <w:color w:val="000000"/>
                <w:kern w:val="0"/>
                <w:lang w:bidi="ar"/>
              </w:rPr>
              <w:t>设备单价</w:t>
            </w:r>
          </w:p>
        </w:tc>
        <w:tc>
          <w:tcPr>
            <w:tcW w:w="1427" w:type="dxa"/>
            <w:vAlign w:val="center"/>
          </w:tcPr>
          <w:p>
            <w:pPr>
              <w:widowControl/>
              <w:jc w:val="center"/>
            </w:pPr>
            <w:r>
              <w:rPr>
                <w:rFonts w:ascii="HYa6gj" w:hAnsi="HYa6gj" w:eastAsia="HYa6gj" w:cs="HYa6gj"/>
                <w:color w:val="000000"/>
                <w:kern w:val="0"/>
                <w:lang w:bidi="ar"/>
              </w:rPr>
              <w:t>安装运输</w:t>
            </w:r>
          </w:p>
        </w:tc>
        <w:tc>
          <w:tcPr>
            <w:tcW w:w="1440" w:type="dxa"/>
            <w:vAlign w:val="center"/>
          </w:tcPr>
          <w:p>
            <w:pPr>
              <w:spacing w:line="380" w:lineRule="exact"/>
              <w:jc w:val="center"/>
            </w:pPr>
            <w:r>
              <w:rPr>
                <w:rFonts w:hint="eastAsia"/>
              </w:rPr>
              <w:t>合计</w:t>
            </w:r>
          </w:p>
        </w:tc>
        <w:tc>
          <w:tcPr>
            <w:tcW w:w="1440" w:type="dxa"/>
            <w:vAlign w:val="center"/>
          </w:tcPr>
          <w:p>
            <w:pPr>
              <w:spacing w:line="380" w:lineRule="exact"/>
              <w:jc w:val="center"/>
            </w:pPr>
            <w:r>
              <w:rPr>
                <w:rFonts w:hint="eastAsia"/>
              </w:rPr>
              <w:t>台数</w:t>
            </w:r>
          </w:p>
        </w:tc>
        <w:tc>
          <w:tcPr>
            <w:tcW w:w="1442" w:type="dxa"/>
            <w:vAlign w:val="center"/>
          </w:tcPr>
          <w:p>
            <w:pPr>
              <w:spacing w:line="380" w:lineRule="exact"/>
              <w:jc w:val="center"/>
            </w:pPr>
            <w:r>
              <w:rPr>
                <w:rFonts w:hint="eastAsia"/>
              </w:rPr>
              <w:t>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trPr>
        <w:tc>
          <w:tcPr>
            <w:tcW w:w="1129" w:type="dxa"/>
            <w:vAlign w:val="center"/>
          </w:tcPr>
          <w:p>
            <w:pPr>
              <w:spacing w:line="380" w:lineRule="exact"/>
              <w:jc w:val="center"/>
              <w:rPr>
                <w:kern w:val="0"/>
              </w:rPr>
            </w:pPr>
            <w:r>
              <w:rPr>
                <w:rFonts w:hint="eastAsia"/>
                <w:kern w:val="0"/>
              </w:rPr>
              <w:t>1</w:t>
            </w:r>
          </w:p>
        </w:tc>
        <w:tc>
          <w:tcPr>
            <w:tcW w:w="1560" w:type="dxa"/>
            <w:vAlign w:val="center"/>
          </w:tcPr>
          <w:p>
            <w:pPr>
              <w:jc w:val="center"/>
            </w:pPr>
            <w:r>
              <w:rPr>
                <w:rFonts w:hint="eastAsia"/>
              </w:rPr>
              <w:t>货梯</w:t>
            </w:r>
          </w:p>
        </w:tc>
        <w:tc>
          <w:tcPr>
            <w:tcW w:w="2551" w:type="dxa"/>
            <w:vAlign w:val="center"/>
          </w:tcPr>
          <w:p>
            <w:pPr>
              <w:widowControl/>
              <w:jc w:val="center"/>
            </w:pPr>
            <w:r>
              <w:rPr>
                <w:rFonts w:hint="eastAsia" w:ascii="宋体" w:hAnsi="宋体" w:cs="宋体"/>
                <w:color w:val="000000"/>
                <w:kern w:val="0"/>
                <w:lang w:bidi="ar"/>
              </w:rPr>
              <w:t>THJ</w:t>
            </w:r>
            <w:r>
              <w:rPr>
                <w:rFonts w:ascii="宋体" w:hAnsi="宋体" w:cs="宋体"/>
                <w:color w:val="000000"/>
                <w:kern w:val="0"/>
                <w:lang w:bidi="ar"/>
              </w:rPr>
              <w:t>1</w:t>
            </w:r>
            <w:r>
              <w:rPr>
                <w:rFonts w:hint="eastAsia" w:ascii="宋体" w:hAnsi="宋体" w:cs="宋体"/>
                <w:color w:val="000000"/>
                <w:kern w:val="0"/>
                <w:lang w:bidi="ar"/>
              </w:rPr>
              <w:t>00</w:t>
            </w:r>
            <w:r>
              <w:rPr>
                <w:rFonts w:ascii="宋体" w:hAnsi="宋体" w:cs="宋体"/>
                <w:color w:val="000000"/>
                <w:kern w:val="0"/>
                <w:lang w:bidi="ar"/>
              </w:rPr>
              <w:t>0/1.</w:t>
            </w:r>
            <w:r>
              <w:rPr>
                <w:rFonts w:hint="eastAsia" w:ascii="宋体" w:hAnsi="宋体" w:cs="宋体"/>
                <w:color w:val="000000"/>
                <w:kern w:val="0"/>
                <w:lang w:bidi="ar"/>
              </w:rPr>
              <w:t>0</w:t>
            </w:r>
            <w:r>
              <w:rPr>
                <w:rFonts w:ascii="宋体" w:hAnsi="宋体" w:cs="宋体"/>
                <w:color w:val="000000"/>
                <w:kern w:val="0"/>
                <w:lang w:bidi="ar"/>
              </w:rPr>
              <w:t>-JXW</w:t>
            </w:r>
          </w:p>
        </w:tc>
        <w:tc>
          <w:tcPr>
            <w:tcW w:w="1843" w:type="dxa"/>
            <w:vAlign w:val="center"/>
          </w:tcPr>
          <w:p>
            <w:pPr>
              <w:jc w:val="center"/>
            </w:pPr>
            <w:r>
              <w:rPr>
                <w:rFonts w:hint="eastAsia"/>
              </w:rPr>
              <w:t>8/8/9</w:t>
            </w:r>
            <w:r>
              <w:rPr>
                <w:rFonts w:ascii="HYa6gj" w:hAnsi="HYa6gj" w:eastAsia="HYa6gj" w:cs="HYa6gj"/>
                <w:color w:val="000000"/>
                <w:kern w:val="0"/>
                <w:lang w:bidi="ar"/>
              </w:rPr>
              <w:t>贯通门</w:t>
            </w:r>
          </w:p>
        </w:tc>
        <w:tc>
          <w:tcPr>
            <w:tcW w:w="1755" w:type="dxa"/>
            <w:vAlign w:val="center"/>
          </w:tcPr>
          <w:p>
            <w:pPr>
              <w:jc w:val="center"/>
            </w:pPr>
            <w:r>
              <w:rPr>
                <w:rFonts w:hint="eastAsia" w:ascii="宋体" w:hAnsi="宋体" w:cs="宋体"/>
                <w:color w:val="000000"/>
                <w:kern w:val="0"/>
                <w:lang w:bidi="ar"/>
              </w:rPr>
              <w:t>45</w:t>
            </w:r>
          </w:p>
        </w:tc>
        <w:tc>
          <w:tcPr>
            <w:tcW w:w="1427" w:type="dxa"/>
            <w:vAlign w:val="center"/>
          </w:tcPr>
          <w:p>
            <w:pPr>
              <w:jc w:val="center"/>
            </w:pPr>
            <w:r>
              <w:rPr>
                <w:rFonts w:hint="eastAsia"/>
              </w:rPr>
              <w:t>12</w:t>
            </w:r>
          </w:p>
        </w:tc>
        <w:tc>
          <w:tcPr>
            <w:tcW w:w="1440" w:type="dxa"/>
            <w:vAlign w:val="center"/>
          </w:tcPr>
          <w:p>
            <w:pPr>
              <w:jc w:val="center"/>
            </w:pPr>
            <w:r>
              <w:rPr>
                <w:rFonts w:hint="eastAsia" w:ascii="宋体" w:hAnsi="宋体" w:cs="宋体"/>
                <w:color w:val="000000"/>
                <w:kern w:val="0"/>
                <w:lang w:bidi="ar"/>
              </w:rPr>
              <w:t>57</w:t>
            </w:r>
          </w:p>
        </w:tc>
        <w:tc>
          <w:tcPr>
            <w:tcW w:w="1440" w:type="dxa"/>
            <w:vAlign w:val="center"/>
          </w:tcPr>
          <w:p>
            <w:pPr>
              <w:jc w:val="center"/>
            </w:pPr>
            <w:r>
              <w:rPr>
                <w:rFonts w:hint="eastAsia"/>
              </w:rPr>
              <w:t>1</w:t>
            </w:r>
          </w:p>
        </w:tc>
        <w:tc>
          <w:tcPr>
            <w:tcW w:w="1442" w:type="dxa"/>
            <w:vAlign w:val="center"/>
          </w:tcPr>
          <w:p>
            <w:pPr>
              <w:spacing w:line="380" w:lineRule="exact"/>
              <w:jc w:val="center"/>
            </w:pPr>
            <w:r>
              <w:rPr>
                <w:rFonts w:hint="eastAsia" w:ascii="宋体" w:hAnsi="宋体" w:cs="宋体"/>
                <w:color w:val="000000"/>
                <w:kern w:val="0"/>
                <w:lang w:bidi="ar"/>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trPr>
        <w:tc>
          <w:tcPr>
            <w:tcW w:w="1129" w:type="dxa"/>
            <w:vAlign w:val="center"/>
          </w:tcPr>
          <w:p>
            <w:pPr>
              <w:spacing w:line="380" w:lineRule="exact"/>
              <w:jc w:val="center"/>
              <w:rPr>
                <w:kern w:val="0"/>
              </w:rPr>
            </w:pPr>
            <w:r>
              <w:rPr>
                <w:rFonts w:hint="eastAsia"/>
                <w:kern w:val="0"/>
              </w:rPr>
              <w:t>2</w:t>
            </w:r>
          </w:p>
        </w:tc>
        <w:tc>
          <w:tcPr>
            <w:tcW w:w="1560" w:type="dxa"/>
            <w:vAlign w:val="center"/>
          </w:tcPr>
          <w:p>
            <w:pPr>
              <w:widowControl/>
              <w:jc w:val="center"/>
            </w:pPr>
            <w:r>
              <w:rPr>
                <w:rFonts w:ascii="HYa6gj" w:hAnsi="HYa6gj" w:eastAsia="HYa6gj" w:cs="HYa6gj"/>
                <w:color w:val="000000"/>
                <w:kern w:val="0"/>
                <w:lang w:bidi="ar"/>
              </w:rPr>
              <w:t>货梯</w:t>
            </w:r>
          </w:p>
        </w:tc>
        <w:tc>
          <w:tcPr>
            <w:tcW w:w="2551" w:type="dxa"/>
            <w:vAlign w:val="center"/>
          </w:tcPr>
          <w:p>
            <w:pPr>
              <w:widowControl/>
              <w:jc w:val="center"/>
            </w:pPr>
            <w:r>
              <w:rPr>
                <w:rFonts w:hint="eastAsia" w:ascii="宋体" w:hAnsi="宋体" w:cs="宋体"/>
                <w:color w:val="000000"/>
                <w:kern w:val="0"/>
                <w:lang w:bidi="ar"/>
              </w:rPr>
              <w:t>THJ</w:t>
            </w:r>
            <w:r>
              <w:rPr>
                <w:rFonts w:hint="eastAsia" w:ascii="宋体" w:hAnsi="宋体" w:cs="宋体"/>
                <w:color w:val="000000"/>
                <w:kern w:val="0"/>
                <w:lang w:val="en-US" w:eastAsia="zh-CN" w:bidi="ar"/>
              </w:rPr>
              <w:t>3</w:t>
            </w:r>
            <w:bookmarkStart w:id="35" w:name="_GoBack"/>
            <w:bookmarkEnd w:id="35"/>
            <w:r>
              <w:rPr>
                <w:rFonts w:hint="eastAsia" w:ascii="宋体" w:hAnsi="宋体" w:cs="宋体"/>
                <w:color w:val="000000"/>
                <w:kern w:val="0"/>
                <w:lang w:bidi="ar"/>
              </w:rPr>
              <w:t>0</w:t>
            </w:r>
            <w:r>
              <w:rPr>
                <w:rFonts w:ascii="宋体" w:hAnsi="宋体" w:cs="宋体"/>
                <w:color w:val="000000"/>
                <w:kern w:val="0"/>
                <w:lang w:bidi="ar"/>
              </w:rPr>
              <w:t>00/1.</w:t>
            </w:r>
            <w:r>
              <w:rPr>
                <w:rFonts w:hint="eastAsia" w:ascii="宋体" w:hAnsi="宋体" w:cs="宋体"/>
                <w:color w:val="000000"/>
                <w:kern w:val="0"/>
                <w:lang w:bidi="ar"/>
              </w:rPr>
              <w:t>0</w:t>
            </w:r>
            <w:r>
              <w:rPr>
                <w:rFonts w:ascii="宋体" w:hAnsi="宋体" w:cs="宋体"/>
                <w:color w:val="000000"/>
                <w:kern w:val="0"/>
                <w:lang w:bidi="ar"/>
              </w:rPr>
              <w:t>-JXW</w:t>
            </w:r>
          </w:p>
        </w:tc>
        <w:tc>
          <w:tcPr>
            <w:tcW w:w="1843" w:type="dxa"/>
            <w:vAlign w:val="center"/>
          </w:tcPr>
          <w:p>
            <w:pPr>
              <w:widowControl/>
              <w:jc w:val="center"/>
            </w:pPr>
            <w:r>
              <w:rPr>
                <w:rFonts w:ascii="宋体" w:hAnsi="宋体" w:cs="宋体"/>
                <w:color w:val="000000"/>
                <w:kern w:val="0"/>
                <w:lang w:bidi="ar"/>
              </w:rPr>
              <w:t>8/8/9</w:t>
            </w:r>
            <w:r>
              <w:rPr>
                <w:rFonts w:ascii="HYa6gj" w:hAnsi="HYa6gj" w:eastAsia="HYa6gj" w:cs="HYa6gj"/>
                <w:color w:val="000000"/>
                <w:kern w:val="0"/>
                <w:lang w:bidi="ar"/>
              </w:rPr>
              <w:t>贯通门</w:t>
            </w:r>
          </w:p>
        </w:tc>
        <w:tc>
          <w:tcPr>
            <w:tcW w:w="1755" w:type="dxa"/>
            <w:vAlign w:val="center"/>
          </w:tcPr>
          <w:p>
            <w:pPr>
              <w:jc w:val="center"/>
            </w:pPr>
            <w:r>
              <w:rPr>
                <w:rFonts w:hint="eastAsia" w:ascii="宋体" w:hAnsi="宋体" w:cs="宋体"/>
                <w:color w:val="000000"/>
                <w:kern w:val="0"/>
                <w:lang w:bidi="ar"/>
              </w:rPr>
              <w:t>21.2</w:t>
            </w:r>
          </w:p>
        </w:tc>
        <w:tc>
          <w:tcPr>
            <w:tcW w:w="1427" w:type="dxa"/>
            <w:vAlign w:val="center"/>
          </w:tcPr>
          <w:p>
            <w:pPr>
              <w:jc w:val="center"/>
            </w:pPr>
            <w:r>
              <w:rPr>
                <w:rFonts w:hint="eastAsia"/>
              </w:rPr>
              <w:t>5.8</w:t>
            </w:r>
          </w:p>
        </w:tc>
        <w:tc>
          <w:tcPr>
            <w:tcW w:w="1440" w:type="dxa"/>
            <w:vAlign w:val="center"/>
          </w:tcPr>
          <w:p>
            <w:pPr>
              <w:jc w:val="center"/>
            </w:pPr>
            <w:r>
              <w:rPr>
                <w:rFonts w:hint="eastAsia" w:ascii="宋体" w:hAnsi="宋体" w:cs="宋体"/>
                <w:color w:val="000000"/>
                <w:kern w:val="0"/>
                <w:lang w:bidi="ar"/>
              </w:rPr>
              <w:t>27</w:t>
            </w:r>
          </w:p>
        </w:tc>
        <w:tc>
          <w:tcPr>
            <w:tcW w:w="1440" w:type="dxa"/>
            <w:vAlign w:val="center"/>
          </w:tcPr>
          <w:p>
            <w:pPr>
              <w:jc w:val="center"/>
            </w:pPr>
            <w:r>
              <w:rPr>
                <w:rFonts w:hint="eastAsia"/>
              </w:rPr>
              <w:t>2</w:t>
            </w:r>
          </w:p>
        </w:tc>
        <w:tc>
          <w:tcPr>
            <w:tcW w:w="1442" w:type="dxa"/>
            <w:vAlign w:val="center"/>
          </w:tcPr>
          <w:p>
            <w:pPr>
              <w:spacing w:line="380" w:lineRule="exact"/>
              <w:jc w:val="center"/>
            </w:pPr>
            <w:r>
              <w:rPr>
                <w:rFonts w:hint="eastAsia" w:ascii="宋体" w:hAnsi="宋体" w:cs="宋体"/>
                <w:color w:val="000000"/>
                <w:kern w:val="0"/>
                <w:lang w:bidi="ar"/>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trPr>
        <w:tc>
          <w:tcPr>
            <w:tcW w:w="1129" w:type="dxa"/>
            <w:vAlign w:val="center"/>
          </w:tcPr>
          <w:p>
            <w:pPr>
              <w:spacing w:line="380" w:lineRule="exact"/>
              <w:jc w:val="center"/>
              <w:rPr>
                <w:kern w:val="0"/>
              </w:rPr>
            </w:pPr>
            <w:r>
              <w:rPr>
                <w:rFonts w:hint="eastAsia"/>
                <w:kern w:val="0"/>
              </w:rPr>
              <w:t>3</w:t>
            </w:r>
          </w:p>
        </w:tc>
        <w:tc>
          <w:tcPr>
            <w:tcW w:w="1560" w:type="dxa"/>
            <w:vAlign w:val="center"/>
          </w:tcPr>
          <w:p>
            <w:pPr>
              <w:widowControl/>
              <w:jc w:val="center"/>
            </w:pPr>
            <w:r>
              <w:rPr>
                <w:rFonts w:ascii="HYa6gj" w:hAnsi="HYa6gj" w:eastAsia="HYa6gj" w:cs="HYa6gj"/>
                <w:color w:val="000000"/>
                <w:kern w:val="0"/>
                <w:lang w:bidi="ar"/>
              </w:rPr>
              <w:t>货梯</w:t>
            </w:r>
          </w:p>
        </w:tc>
        <w:tc>
          <w:tcPr>
            <w:tcW w:w="2551" w:type="dxa"/>
            <w:vAlign w:val="center"/>
          </w:tcPr>
          <w:p>
            <w:pPr>
              <w:widowControl/>
              <w:jc w:val="center"/>
            </w:pPr>
            <w:r>
              <w:rPr>
                <w:rFonts w:hint="eastAsia" w:ascii="宋体" w:hAnsi="宋体" w:cs="宋体"/>
                <w:color w:val="000000"/>
                <w:kern w:val="0"/>
                <w:lang w:bidi="ar"/>
              </w:rPr>
              <w:t>THJ20</w:t>
            </w:r>
            <w:r>
              <w:rPr>
                <w:rFonts w:ascii="宋体" w:hAnsi="宋体" w:cs="宋体"/>
                <w:color w:val="000000"/>
                <w:kern w:val="0"/>
                <w:lang w:bidi="ar"/>
              </w:rPr>
              <w:t>00/1.</w:t>
            </w:r>
            <w:r>
              <w:rPr>
                <w:rFonts w:hint="eastAsia" w:ascii="宋体" w:hAnsi="宋体" w:cs="宋体"/>
                <w:color w:val="000000"/>
                <w:kern w:val="0"/>
                <w:lang w:bidi="ar"/>
              </w:rPr>
              <w:t>0</w:t>
            </w:r>
            <w:r>
              <w:rPr>
                <w:rFonts w:ascii="宋体" w:hAnsi="宋体" w:cs="宋体"/>
                <w:color w:val="000000"/>
                <w:kern w:val="0"/>
                <w:lang w:bidi="ar"/>
              </w:rPr>
              <w:t>-JXW</w:t>
            </w:r>
          </w:p>
        </w:tc>
        <w:tc>
          <w:tcPr>
            <w:tcW w:w="1843" w:type="dxa"/>
            <w:vAlign w:val="center"/>
          </w:tcPr>
          <w:p>
            <w:pPr>
              <w:widowControl/>
              <w:jc w:val="center"/>
            </w:pPr>
            <w:r>
              <w:rPr>
                <w:rFonts w:hint="eastAsia" w:ascii="宋体" w:hAnsi="宋体" w:cs="宋体"/>
                <w:color w:val="000000"/>
                <w:kern w:val="0"/>
                <w:lang w:bidi="ar"/>
              </w:rPr>
              <w:t>7</w:t>
            </w:r>
            <w:r>
              <w:rPr>
                <w:rFonts w:ascii="宋体" w:hAnsi="宋体" w:cs="宋体"/>
                <w:color w:val="000000"/>
                <w:kern w:val="0"/>
                <w:lang w:bidi="ar"/>
              </w:rPr>
              <w:t>/</w:t>
            </w:r>
            <w:r>
              <w:rPr>
                <w:rFonts w:hint="eastAsia" w:ascii="宋体" w:hAnsi="宋体" w:cs="宋体"/>
                <w:color w:val="000000"/>
                <w:kern w:val="0"/>
                <w:lang w:bidi="ar"/>
              </w:rPr>
              <w:t>7</w:t>
            </w:r>
            <w:r>
              <w:rPr>
                <w:rFonts w:ascii="宋体" w:hAnsi="宋体" w:cs="宋体"/>
                <w:color w:val="000000"/>
                <w:kern w:val="0"/>
                <w:lang w:bidi="ar"/>
              </w:rPr>
              <w:t>/</w:t>
            </w:r>
            <w:r>
              <w:rPr>
                <w:rFonts w:hint="eastAsia" w:ascii="宋体" w:hAnsi="宋体" w:cs="宋体"/>
                <w:color w:val="000000"/>
                <w:kern w:val="0"/>
                <w:lang w:bidi="ar"/>
              </w:rPr>
              <w:t>7</w:t>
            </w:r>
          </w:p>
        </w:tc>
        <w:tc>
          <w:tcPr>
            <w:tcW w:w="1755" w:type="dxa"/>
            <w:vAlign w:val="bottom"/>
          </w:tcPr>
          <w:p>
            <w:pPr>
              <w:widowControl/>
              <w:jc w:val="center"/>
            </w:pPr>
            <w:r>
              <w:rPr>
                <w:rFonts w:hint="eastAsia" w:ascii="宋体" w:hAnsi="宋体" w:cs="宋体"/>
                <w:color w:val="000000"/>
                <w:kern w:val="0"/>
                <w:lang w:bidi="ar"/>
              </w:rPr>
              <w:t>9</w:t>
            </w:r>
            <w:r>
              <w:rPr>
                <w:rFonts w:ascii="宋体" w:hAnsi="宋体" w:cs="宋体"/>
                <w:color w:val="000000"/>
                <w:kern w:val="0"/>
                <w:lang w:bidi="ar"/>
              </w:rPr>
              <w:t>.</w:t>
            </w:r>
            <w:r>
              <w:rPr>
                <w:rFonts w:hint="eastAsia" w:ascii="宋体" w:hAnsi="宋体" w:cs="宋体"/>
                <w:color w:val="000000"/>
                <w:kern w:val="0"/>
                <w:lang w:bidi="ar"/>
              </w:rPr>
              <w:t>8</w:t>
            </w:r>
          </w:p>
          <w:p>
            <w:pPr>
              <w:jc w:val="center"/>
            </w:pPr>
          </w:p>
        </w:tc>
        <w:tc>
          <w:tcPr>
            <w:tcW w:w="1427" w:type="dxa"/>
            <w:vAlign w:val="center"/>
          </w:tcPr>
          <w:p>
            <w:pPr>
              <w:jc w:val="center"/>
            </w:pPr>
            <w:r>
              <w:rPr>
                <w:rFonts w:hint="eastAsia"/>
              </w:rPr>
              <w:t>4.2</w:t>
            </w:r>
          </w:p>
        </w:tc>
        <w:tc>
          <w:tcPr>
            <w:tcW w:w="1440" w:type="dxa"/>
            <w:vAlign w:val="center"/>
          </w:tcPr>
          <w:p>
            <w:pPr>
              <w:jc w:val="center"/>
            </w:pPr>
            <w:r>
              <w:rPr>
                <w:rFonts w:hint="eastAsia" w:ascii="宋体" w:hAnsi="宋体" w:cs="宋体"/>
                <w:color w:val="000000"/>
                <w:kern w:val="0"/>
                <w:lang w:bidi="ar"/>
              </w:rPr>
              <w:t>14</w:t>
            </w:r>
          </w:p>
        </w:tc>
        <w:tc>
          <w:tcPr>
            <w:tcW w:w="1440" w:type="dxa"/>
            <w:vAlign w:val="center"/>
          </w:tcPr>
          <w:p>
            <w:pPr>
              <w:jc w:val="center"/>
            </w:pPr>
            <w:r>
              <w:rPr>
                <w:rFonts w:hint="eastAsia"/>
              </w:rPr>
              <w:t>1</w:t>
            </w:r>
          </w:p>
        </w:tc>
        <w:tc>
          <w:tcPr>
            <w:tcW w:w="1442" w:type="dxa"/>
            <w:vAlign w:val="center"/>
          </w:tcPr>
          <w:p>
            <w:pPr>
              <w:spacing w:line="380" w:lineRule="exact"/>
              <w:jc w:val="center"/>
            </w:pPr>
            <w:r>
              <w:rPr>
                <w:rFonts w:hint="eastAsia" w:ascii="宋体" w:hAnsi="宋体" w:cs="宋体"/>
                <w:color w:val="000000"/>
                <w:kern w:val="0"/>
                <w:lang w:bidi="ar"/>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2" w:hRule="atLeast"/>
        </w:trPr>
        <w:tc>
          <w:tcPr>
            <w:tcW w:w="1129" w:type="dxa"/>
            <w:vAlign w:val="center"/>
          </w:tcPr>
          <w:p>
            <w:pPr>
              <w:spacing w:line="380" w:lineRule="exact"/>
              <w:jc w:val="center"/>
              <w:rPr>
                <w:kern w:val="0"/>
              </w:rPr>
            </w:pPr>
            <w:r>
              <w:rPr>
                <w:rFonts w:hint="eastAsia"/>
                <w:kern w:val="0"/>
              </w:rPr>
              <w:t>4</w:t>
            </w:r>
          </w:p>
        </w:tc>
        <w:tc>
          <w:tcPr>
            <w:tcW w:w="1560" w:type="dxa"/>
            <w:vAlign w:val="center"/>
          </w:tcPr>
          <w:p>
            <w:pPr>
              <w:widowControl/>
              <w:jc w:val="center"/>
            </w:pPr>
            <w:r>
              <w:rPr>
                <w:rFonts w:hint="eastAsia" w:ascii="HYa6gj" w:hAnsi="HYa6gj" w:eastAsia="HYa6gj" w:cs="HYa6gj"/>
                <w:color w:val="000000"/>
                <w:kern w:val="0"/>
                <w:lang w:bidi="ar"/>
              </w:rPr>
              <w:t>乘客电</w:t>
            </w:r>
            <w:r>
              <w:rPr>
                <w:rFonts w:ascii="HYa6gj" w:hAnsi="HYa6gj" w:eastAsia="HYa6gj" w:cs="HYa6gj"/>
                <w:color w:val="000000"/>
                <w:kern w:val="0"/>
                <w:lang w:bidi="ar"/>
              </w:rPr>
              <w:t>梯</w:t>
            </w:r>
          </w:p>
        </w:tc>
        <w:tc>
          <w:tcPr>
            <w:tcW w:w="2551" w:type="dxa"/>
            <w:vAlign w:val="center"/>
          </w:tcPr>
          <w:p>
            <w:pPr>
              <w:widowControl/>
              <w:jc w:val="center"/>
            </w:pPr>
            <w:r>
              <w:rPr>
                <w:rFonts w:hint="eastAsia" w:ascii="宋体" w:hAnsi="宋体" w:cs="宋体"/>
                <w:color w:val="000000"/>
                <w:kern w:val="0"/>
                <w:lang w:bidi="ar"/>
              </w:rPr>
              <w:t>TKJ105</w:t>
            </w:r>
            <w:r>
              <w:rPr>
                <w:rFonts w:ascii="宋体" w:hAnsi="宋体" w:cs="宋体"/>
                <w:color w:val="000000"/>
                <w:kern w:val="0"/>
                <w:lang w:bidi="ar"/>
              </w:rPr>
              <w:t>0/1.</w:t>
            </w:r>
            <w:r>
              <w:rPr>
                <w:rFonts w:hint="eastAsia" w:ascii="宋体" w:hAnsi="宋体" w:cs="宋体"/>
                <w:color w:val="000000"/>
                <w:kern w:val="0"/>
                <w:lang w:bidi="ar"/>
              </w:rPr>
              <w:t>0</w:t>
            </w:r>
            <w:r>
              <w:rPr>
                <w:rFonts w:ascii="宋体" w:hAnsi="宋体" w:cs="宋体"/>
                <w:color w:val="000000"/>
                <w:kern w:val="0"/>
                <w:lang w:bidi="ar"/>
              </w:rPr>
              <w:t>-JXW</w:t>
            </w:r>
          </w:p>
        </w:tc>
        <w:tc>
          <w:tcPr>
            <w:tcW w:w="1843" w:type="dxa"/>
            <w:vAlign w:val="center"/>
          </w:tcPr>
          <w:p>
            <w:pPr>
              <w:widowControl/>
              <w:jc w:val="center"/>
            </w:pPr>
            <w:r>
              <w:rPr>
                <w:rFonts w:hint="eastAsia" w:ascii="宋体" w:hAnsi="宋体" w:cs="宋体"/>
                <w:color w:val="000000"/>
                <w:kern w:val="0"/>
                <w:lang w:bidi="ar"/>
              </w:rPr>
              <w:t>7</w:t>
            </w:r>
            <w:r>
              <w:rPr>
                <w:rFonts w:ascii="宋体" w:hAnsi="宋体" w:cs="宋体"/>
                <w:color w:val="000000"/>
                <w:kern w:val="0"/>
                <w:lang w:bidi="ar"/>
              </w:rPr>
              <w:t>/</w:t>
            </w:r>
            <w:r>
              <w:rPr>
                <w:rFonts w:hint="eastAsia" w:ascii="宋体" w:hAnsi="宋体" w:cs="宋体"/>
                <w:color w:val="000000"/>
                <w:kern w:val="0"/>
                <w:lang w:bidi="ar"/>
              </w:rPr>
              <w:t>7</w:t>
            </w:r>
            <w:r>
              <w:rPr>
                <w:rFonts w:ascii="宋体" w:hAnsi="宋体" w:cs="宋体"/>
                <w:color w:val="000000"/>
                <w:kern w:val="0"/>
                <w:lang w:bidi="ar"/>
              </w:rPr>
              <w:t>/</w:t>
            </w:r>
            <w:r>
              <w:rPr>
                <w:rFonts w:hint="eastAsia" w:ascii="宋体" w:hAnsi="宋体" w:cs="宋体"/>
                <w:color w:val="000000"/>
                <w:kern w:val="0"/>
                <w:lang w:bidi="ar"/>
              </w:rPr>
              <w:t>7</w:t>
            </w:r>
          </w:p>
        </w:tc>
        <w:tc>
          <w:tcPr>
            <w:tcW w:w="1755" w:type="dxa"/>
            <w:vAlign w:val="bottom"/>
          </w:tcPr>
          <w:p>
            <w:pPr>
              <w:widowControl/>
              <w:jc w:val="center"/>
            </w:pPr>
            <w:r>
              <w:rPr>
                <w:rFonts w:hint="eastAsia"/>
              </w:rPr>
              <w:t>8.5</w:t>
            </w:r>
          </w:p>
          <w:p>
            <w:pPr>
              <w:jc w:val="center"/>
            </w:pPr>
          </w:p>
        </w:tc>
        <w:tc>
          <w:tcPr>
            <w:tcW w:w="1427" w:type="dxa"/>
            <w:vAlign w:val="center"/>
          </w:tcPr>
          <w:p>
            <w:pPr>
              <w:jc w:val="center"/>
            </w:pPr>
            <w:r>
              <w:rPr>
                <w:rFonts w:hint="eastAsia"/>
              </w:rPr>
              <w:t>3</w:t>
            </w:r>
          </w:p>
        </w:tc>
        <w:tc>
          <w:tcPr>
            <w:tcW w:w="1440" w:type="dxa"/>
            <w:vAlign w:val="center"/>
          </w:tcPr>
          <w:p>
            <w:pPr>
              <w:jc w:val="center"/>
            </w:pPr>
            <w:r>
              <w:rPr>
                <w:rFonts w:hint="eastAsia" w:ascii="宋体" w:hAnsi="宋体" w:cs="宋体"/>
                <w:color w:val="000000"/>
                <w:kern w:val="0"/>
                <w:lang w:bidi="ar"/>
              </w:rPr>
              <w:t>11.5</w:t>
            </w:r>
          </w:p>
        </w:tc>
        <w:tc>
          <w:tcPr>
            <w:tcW w:w="1440" w:type="dxa"/>
            <w:vAlign w:val="center"/>
          </w:tcPr>
          <w:p>
            <w:pPr>
              <w:jc w:val="center"/>
            </w:pPr>
            <w:r>
              <w:rPr>
                <w:rFonts w:hint="eastAsia"/>
              </w:rPr>
              <w:t>1</w:t>
            </w:r>
          </w:p>
        </w:tc>
        <w:tc>
          <w:tcPr>
            <w:tcW w:w="1442" w:type="dxa"/>
            <w:vAlign w:val="center"/>
          </w:tcPr>
          <w:p>
            <w:pPr>
              <w:spacing w:line="380" w:lineRule="exact"/>
              <w:jc w:val="center"/>
            </w:pPr>
            <w:r>
              <w:rPr>
                <w:rFonts w:hint="eastAsia" w:ascii="宋体" w:hAnsi="宋体" w:cs="宋体"/>
                <w:color w:val="000000"/>
                <w:kern w:val="0"/>
                <w:lang w:bidi="ar"/>
              </w:rPr>
              <w:t>11.5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6" w:hRule="atLeast"/>
        </w:trPr>
        <w:tc>
          <w:tcPr>
            <w:tcW w:w="14587" w:type="dxa"/>
            <w:gridSpan w:val="9"/>
            <w:vAlign w:val="center"/>
          </w:tcPr>
          <w:p>
            <w:pPr>
              <w:tabs>
                <w:tab w:val="left" w:pos="384"/>
              </w:tabs>
              <w:spacing w:line="380" w:lineRule="exact"/>
              <w:jc w:val="left"/>
            </w:pPr>
            <w:r>
              <w:rPr>
                <w:rFonts w:hint="eastAsia"/>
              </w:rPr>
              <w:t xml:space="preserve">合计：（大写） </w:t>
            </w:r>
            <w:r>
              <w:rPr>
                <w:rFonts w:hint="eastAsia"/>
                <w:u w:val="single"/>
              </w:rPr>
              <w:t>壹佰叁拾陆万伍仟</w:t>
            </w:r>
            <w:r>
              <w:rPr>
                <w:rFonts w:hint="eastAsia"/>
              </w:rPr>
              <w:t>元整 （小写）：</w:t>
            </w:r>
            <w:r>
              <w:rPr>
                <w:rFonts w:hint="eastAsia"/>
                <w:u w:val="single"/>
              </w:rPr>
              <w:t xml:space="preserve">1365000 </w:t>
            </w:r>
            <w:r>
              <w:rPr>
                <w:rFonts w:hint="eastAsia"/>
              </w:rPr>
              <w:t xml:space="preserve">元    （含13%增值税发票） </w:t>
            </w:r>
          </w:p>
        </w:tc>
      </w:tr>
    </w:tbl>
    <w:p>
      <w:pPr>
        <w:spacing w:line="380" w:lineRule="exact"/>
      </w:pPr>
    </w:p>
    <w:p>
      <w:pPr>
        <w:rPr>
          <w:rFonts w:ascii="宋体" w:hAnsi="宋体"/>
          <w:b/>
        </w:rPr>
      </w:pPr>
      <w:r>
        <w:rPr>
          <w:rFonts w:hint="eastAsia" w:ascii="宋体" w:hAnsi="宋体"/>
          <w:b/>
        </w:rPr>
        <w:t>备注：以上报价配置均为厂标，特殊部分另加价。</w:t>
      </w:r>
    </w:p>
    <w:p>
      <w:pPr>
        <w:spacing w:line="380" w:lineRule="exact"/>
        <w:rPr>
          <w:rFonts w:ascii="宋体" w:hAnsi="宋体"/>
        </w:rPr>
      </w:pPr>
      <w:r>
        <w:drawing>
          <wp:inline distT="0" distB="0" distL="0" distR="0">
            <wp:extent cx="2405380" cy="2375535"/>
            <wp:effectExtent l="0" t="0" r="0" b="5715"/>
            <wp:docPr id="7" name="图片 7" descr="徽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徽标&#10;&#10;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405380" cy="2375535"/>
                    </a:xfrm>
                    <a:prstGeom prst="rect">
                      <a:avLst/>
                    </a:prstGeom>
                    <a:noFill/>
                    <a:ln>
                      <a:noFill/>
                    </a:ln>
                  </pic:spPr>
                </pic:pic>
              </a:graphicData>
            </a:graphic>
          </wp:inline>
        </w:drawing>
      </w:r>
    </w:p>
    <w:p>
      <w:pPr>
        <w:rPr>
          <w:rFonts w:ascii="宋体" w:hAnsi="宋体"/>
        </w:rPr>
      </w:pPr>
      <w:r>
        <w:rPr>
          <w:rFonts w:hint="eastAsia" w:ascii="宋体" w:hAnsi="宋体"/>
        </w:rPr>
        <w:t>①本报价包含以下内容：</w:t>
      </w:r>
      <w:r>
        <w:rPr>
          <w:rFonts w:hint="eastAsia"/>
          <w:b/>
        </w:rPr>
        <w:t xml:space="preserve"> </w:t>
      </w:r>
    </w:p>
    <w:p>
      <w:pPr>
        <w:ind w:firstLine="480" w:firstLineChars="200"/>
        <w:rPr>
          <w:rFonts w:ascii="宋体" w:hAnsi="宋体"/>
        </w:rPr>
      </w:pPr>
      <w:r>
        <w:rPr>
          <w:rFonts w:hint="eastAsia" w:ascii="宋体" w:hAnsi="宋体"/>
        </w:rPr>
        <w:t>1、项目地址：</w:t>
      </w:r>
    </w:p>
    <w:p>
      <w:pPr>
        <w:ind w:firstLine="480" w:firstLineChars="200"/>
        <w:rPr>
          <w:rFonts w:ascii="宋体" w:hAnsi="宋体"/>
        </w:rPr>
        <w:sectPr>
          <w:headerReference r:id="rId8" w:type="default"/>
          <w:footerReference r:id="rId9" w:type="default"/>
          <w:pgSz w:w="16838" w:h="11906" w:orient="landscape"/>
          <w:pgMar w:top="1418" w:right="1559" w:bottom="1418" w:left="1134" w:header="1417" w:footer="850" w:gutter="0"/>
          <w:cols w:space="425" w:num="1"/>
          <w:docGrid w:type="lines" w:linePitch="326" w:charSpace="0"/>
        </w:sectPr>
      </w:pPr>
      <w:r>
        <w:rPr>
          <w:rFonts w:hint="eastAsia" w:ascii="宋体" w:hAnsi="宋体"/>
        </w:rPr>
        <w:t>2、交货方式：卖方代办运输。</w:t>
      </w:r>
    </w:p>
    <w:p>
      <w:pPr>
        <w:ind w:firstLine="480" w:firstLineChars="200"/>
        <w:jc w:val="left"/>
        <w:rPr>
          <w:rFonts w:ascii="宋体" w:hAnsi="宋体" w:cs="宋体"/>
          <w:kern w:val="0"/>
        </w:rPr>
      </w:pPr>
      <w:r>
        <w:rPr>
          <w:rFonts w:ascii="宋体" w:hAnsi="宋体" w:cs="宋体"/>
          <w:kern w:val="0"/>
        </w:rPr>
        <w:t>3</w:t>
      </w:r>
      <w:r>
        <w:rPr>
          <w:rFonts w:hint="eastAsia" w:ascii="宋体" w:hAnsi="宋体" w:cs="宋体"/>
          <w:kern w:val="0"/>
        </w:rPr>
        <w:t>、报价包含内容：电梯设备费、设备安装费、运输费、卸车费、吊车费、安装用脚手架拆装费、报装报验费及12个月的质保期。</w:t>
      </w:r>
    </w:p>
    <w:p>
      <w:pPr>
        <w:ind w:firstLine="480" w:firstLineChars="200"/>
        <w:jc w:val="left"/>
        <w:rPr>
          <w:rFonts w:ascii="宋体" w:hAnsi="宋体"/>
        </w:rPr>
      </w:pPr>
      <w:r>
        <w:rPr>
          <w:rFonts w:hint="eastAsia" w:ascii="宋体" w:hAnsi="宋体"/>
        </w:rPr>
        <w:t>4、最终价格以土建勘查之后的价格为准。</w:t>
      </w:r>
    </w:p>
    <w:p>
      <w:pPr>
        <w:ind w:firstLine="120" w:firstLineChars="50"/>
        <w:rPr>
          <w:rFonts w:ascii="宋体" w:hAnsi="宋体"/>
        </w:rPr>
      </w:pPr>
      <w:r>
        <w:rPr>
          <w:rFonts w:hint="eastAsia" w:ascii="宋体" w:hAnsi="宋体"/>
        </w:rPr>
        <w:t>②本报价不包含以下内容：</w:t>
      </w:r>
    </w:p>
    <w:p>
      <w:pPr>
        <w:ind w:left="1001" w:leftChars="267" w:hanging="360" w:hangingChars="150"/>
        <w:rPr>
          <w:rFonts w:ascii="宋体" w:hAnsi="宋体"/>
        </w:rPr>
      </w:pPr>
      <w:r>
        <w:rPr>
          <w:rFonts w:hint="eastAsia" w:ascii="宋体" w:hAnsi="宋体"/>
        </w:rPr>
        <w:t>1、土建配合费（包括井道底坑的回填、井道和机房杂物、层门边缝的填补、机房和底坑安装完成后孔洞填补和粉刷等）。</w:t>
      </w:r>
    </w:p>
    <w:p>
      <w:pPr>
        <w:ind w:left="1001" w:leftChars="267" w:hanging="360" w:hangingChars="150"/>
        <w:rPr>
          <w:rFonts w:ascii="宋体" w:hAnsi="宋体"/>
        </w:rPr>
      </w:pPr>
      <w:r>
        <w:rPr>
          <w:rFonts w:hint="eastAsia" w:ascii="宋体" w:hAnsi="宋体"/>
        </w:rPr>
        <w:t>2、电梯竣工验收甲方应具备的其他设施（如：正是电源和配电箱、消防灭火器材、机房通风降温设施等）。</w:t>
      </w:r>
    </w:p>
    <w:p>
      <w:pPr>
        <w:ind w:firstLine="566" w:firstLineChars="236"/>
        <w:rPr>
          <w:rFonts w:ascii="宋体" w:hAnsi="宋体"/>
        </w:rPr>
      </w:pPr>
      <w:r>
        <w:rPr>
          <w:rFonts w:hint="eastAsia" w:ascii="宋体" w:hAnsi="宋体"/>
        </w:rPr>
        <w:t>3、电梯年保届满的年检费用。</w:t>
      </w:r>
    </w:p>
    <w:p>
      <w:pPr>
        <w:ind w:firstLine="120" w:firstLineChars="50"/>
        <w:rPr>
          <w:rFonts w:ascii="宋体" w:hAnsi="宋体"/>
        </w:rPr>
      </w:pPr>
      <w:r>
        <w:rPr>
          <w:rFonts w:hint="eastAsia" w:ascii="宋体" w:hAnsi="宋体"/>
        </w:rPr>
        <w:t>③安装条款：</w:t>
      </w:r>
    </w:p>
    <w:p>
      <w:pPr>
        <w:ind w:firstLine="424" w:firstLineChars="177"/>
        <w:rPr>
          <w:rFonts w:ascii="宋体" w:hAnsi="宋体"/>
        </w:rPr>
      </w:pPr>
      <w:r>
        <w:rPr>
          <w:rFonts w:hint="eastAsia" w:ascii="宋体" w:hAnsi="宋体"/>
        </w:rPr>
        <w:t>本工程实施时业主须提供：</w:t>
      </w:r>
    </w:p>
    <w:p>
      <w:pPr>
        <w:numPr>
          <w:ilvl w:val="0"/>
          <w:numId w:val="2"/>
        </w:numPr>
        <w:adjustRightInd/>
        <w:snapToGrid/>
        <w:rPr>
          <w:rFonts w:ascii="宋体" w:hAnsi="宋体"/>
        </w:rPr>
      </w:pPr>
      <w:r>
        <w:rPr>
          <w:rFonts w:hint="eastAsia" w:ascii="宋体" w:hAnsi="宋体"/>
        </w:rPr>
        <w:t>提供符合承包方土建图技术要求的井道及机房，并排除积水污物。</w:t>
      </w:r>
    </w:p>
    <w:p>
      <w:pPr>
        <w:numPr>
          <w:ilvl w:val="0"/>
          <w:numId w:val="2"/>
        </w:numPr>
        <w:adjustRightInd/>
        <w:snapToGrid/>
        <w:rPr>
          <w:rFonts w:ascii="宋体" w:hAnsi="宋体"/>
        </w:rPr>
      </w:pPr>
      <w:r>
        <w:rPr>
          <w:rFonts w:hint="eastAsia" w:ascii="宋体" w:hAnsi="宋体"/>
        </w:rPr>
        <w:t>按要求提供安装、调试用动力和照明电源并将电源接至机房。在安装作业区附近提供</w:t>
      </w:r>
    </w:p>
    <w:p>
      <w:pPr>
        <w:ind w:left="480"/>
        <w:rPr>
          <w:rFonts w:ascii="宋体" w:hAnsi="宋体"/>
        </w:rPr>
      </w:pPr>
      <w:r>
        <w:rPr>
          <w:rFonts w:hint="eastAsia" w:ascii="宋体" w:hAnsi="宋体"/>
        </w:rPr>
        <w:t>有防盗措施和足够面积的零部件储存库房和工具室。</w:t>
      </w:r>
    </w:p>
    <w:p>
      <w:pPr>
        <w:numPr>
          <w:ilvl w:val="0"/>
          <w:numId w:val="2"/>
        </w:numPr>
        <w:adjustRightInd/>
        <w:snapToGrid/>
        <w:rPr>
          <w:rFonts w:ascii="宋体" w:hAnsi="宋体"/>
        </w:rPr>
      </w:pPr>
      <w:r>
        <w:rPr>
          <w:rFonts w:hint="eastAsia" w:ascii="宋体" w:hAnsi="宋体"/>
        </w:rPr>
        <w:t>负责与产品安装有关的土建部分的填塞、浇注和装修。</w:t>
      </w:r>
    </w:p>
    <w:p>
      <w:pPr>
        <w:numPr>
          <w:ilvl w:val="0"/>
          <w:numId w:val="2"/>
        </w:numPr>
        <w:adjustRightInd/>
        <w:snapToGrid/>
        <w:rPr>
          <w:rFonts w:ascii="宋体" w:hAnsi="宋体"/>
        </w:rPr>
      </w:pPr>
      <w:r>
        <w:rPr>
          <w:rFonts w:hint="eastAsia" w:ascii="宋体" w:hAnsi="宋体"/>
        </w:rPr>
        <w:t>落实专人负责承包方与其他工程施工单位交叉作业的协调工作。</w:t>
      </w:r>
    </w:p>
    <w:p>
      <w:pPr>
        <w:numPr>
          <w:ilvl w:val="0"/>
          <w:numId w:val="2"/>
        </w:numPr>
        <w:adjustRightInd/>
        <w:snapToGrid/>
        <w:rPr>
          <w:rFonts w:ascii="宋体" w:hAnsi="宋体"/>
          <w:szCs w:val="21"/>
        </w:rPr>
      </w:pPr>
      <w:r>
        <w:rPr>
          <w:rFonts w:hint="eastAsia" w:ascii="宋体" w:hAnsi="宋体"/>
        </w:rPr>
        <w:t>提供各楼层水平装饰层面基准线和装饰墙面基准线。</w:t>
      </w:r>
    </w:p>
    <w:p>
      <w:pPr>
        <w:rPr>
          <w:b/>
          <w:sz w:val="28"/>
          <w:szCs w:val="28"/>
        </w:rPr>
      </w:pPr>
      <w:r>
        <w:rPr>
          <w:rFonts w:hint="eastAsia"/>
          <w:b/>
          <w:sz w:val="28"/>
          <w:szCs w:val="28"/>
        </w:rPr>
        <w:t>3．工期：</w:t>
      </w:r>
    </w:p>
    <w:p>
      <w:pPr>
        <w:ind w:left="480" w:leftChars="200"/>
        <w:rPr>
          <w:rFonts w:ascii="宋体" w:hAnsi="宋体"/>
        </w:rPr>
      </w:pPr>
      <w:r>
        <w:rPr>
          <w:rFonts w:hint="eastAsia"/>
        </w:rPr>
        <w:t>1</w:t>
      </w:r>
      <w:r>
        <w:rPr>
          <w:rFonts w:hint="eastAsia" w:ascii="宋体" w:hAnsi="宋体"/>
        </w:rPr>
        <w:t xml:space="preserve">）货期、安装工期： </w:t>
      </w:r>
    </w:p>
    <w:p>
      <w:pPr>
        <w:ind w:left="480" w:leftChars="200" w:firstLine="568" w:firstLineChars="237"/>
        <w:rPr>
          <w:rFonts w:ascii="宋体" w:hAnsi="宋体"/>
        </w:rPr>
      </w:pPr>
    </w:p>
    <w:p>
      <w:pPr>
        <w:ind w:left="480" w:leftChars="200" w:firstLine="568" w:firstLineChars="237"/>
        <w:rPr>
          <w:rFonts w:ascii="宋体" w:hAnsi="宋体"/>
        </w:rPr>
      </w:pPr>
      <w:r>
        <w:rPr>
          <w:rFonts w:hint="eastAsia" w:ascii="宋体" w:hAnsi="宋体"/>
        </w:rPr>
        <w:t>在-----供货合同已经签署，    -----预付款已经收到，</w:t>
      </w:r>
    </w:p>
    <w:p>
      <w:pPr>
        <w:ind w:left="480" w:leftChars="200" w:firstLine="570"/>
        <w:rPr>
          <w:rFonts w:ascii="宋体" w:hAnsi="宋体"/>
        </w:rPr>
      </w:pPr>
      <w:r>
        <w:rPr>
          <w:rFonts w:hint="eastAsia" w:ascii="宋体" w:hAnsi="宋体"/>
        </w:rPr>
        <w:t>后-----技术细节已经澄清，    -----图纸已经被批准，</w:t>
      </w:r>
    </w:p>
    <w:p>
      <w:pPr>
        <w:ind w:left="480" w:leftChars="200"/>
        <w:rPr>
          <w:rFonts w:ascii="宋体" w:hAnsi="宋体"/>
        </w:rPr>
      </w:pPr>
      <w:r>
        <w:rPr>
          <w:rFonts w:hint="eastAsia" w:ascii="宋体" w:hAnsi="宋体"/>
        </w:rPr>
        <w:t>后电梯4周内出厂；</w:t>
      </w:r>
    </w:p>
    <w:p>
      <w:pPr>
        <w:ind w:firstLine="141" w:firstLineChars="59"/>
        <w:rPr>
          <w:rFonts w:ascii="宋体" w:hAnsi="宋体"/>
        </w:rPr>
      </w:pPr>
      <w:r>
        <w:rPr>
          <w:rFonts w:hint="eastAsia" w:ascii="宋体" w:hAnsi="宋体"/>
        </w:rPr>
        <w:t>2)每批次电梯安装工期45天</w:t>
      </w:r>
    </w:p>
    <w:p>
      <w:pPr>
        <w:numPr>
          <w:ilvl w:val="0"/>
          <w:numId w:val="3"/>
        </w:numPr>
        <w:adjustRightInd/>
        <w:snapToGrid/>
      </w:pPr>
      <w:r>
        <w:rPr>
          <w:rFonts w:hint="eastAsia"/>
        </w:rPr>
        <w:t>产品质量：供方符合“GB7588-2003《电梯制造与安装安全规范》国家标准生产加工制造电梯。</w:t>
      </w:r>
    </w:p>
    <w:p>
      <w:pPr>
        <w:numPr>
          <w:ilvl w:val="0"/>
          <w:numId w:val="3"/>
        </w:numPr>
        <w:adjustRightInd/>
        <w:snapToGrid/>
      </w:pPr>
      <w:r>
        <w:rPr>
          <w:rFonts w:hint="eastAsia"/>
        </w:rPr>
        <w:t>付款方式及期限：</w:t>
      </w:r>
    </w:p>
    <w:p>
      <w:pPr>
        <w:numPr>
          <w:ilvl w:val="0"/>
          <w:numId w:val="4"/>
        </w:numPr>
        <w:tabs>
          <w:tab w:val="left" w:pos="675"/>
          <w:tab w:val="clear" w:pos="425"/>
        </w:tabs>
        <w:adjustRightInd/>
        <w:snapToGrid/>
        <w:ind w:left="675" w:hanging="360"/>
      </w:pPr>
      <w:r>
        <w:rPr>
          <w:rFonts w:hint="eastAsia"/>
        </w:rPr>
        <w:t>为了便于供需双方联系，需方查询业务和付款时请注明合同号。</w:t>
      </w:r>
    </w:p>
    <w:p>
      <w:pPr>
        <w:numPr>
          <w:ilvl w:val="0"/>
          <w:numId w:val="4"/>
        </w:numPr>
        <w:tabs>
          <w:tab w:val="left" w:pos="675"/>
          <w:tab w:val="clear" w:pos="425"/>
        </w:tabs>
        <w:adjustRightInd/>
        <w:snapToGrid/>
        <w:ind w:left="675" w:hanging="360"/>
      </w:pPr>
      <w:r>
        <w:rPr>
          <w:rFonts w:hint="eastAsia"/>
        </w:rPr>
        <w:t>电梯款项必须直接汇入供方指定账户，否则视为需方没有履行付款义务。并及时将汇款单回执传真给供方。</w:t>
      </w:r>
    </w:p>
    <w:p>
      <w:pPr>
        <w:numPr>
          <w:ilvl w:val="0"/>
          <w:numId w:val="4"/>
        </w:numPr>
        <w:tabs>
          <w:tab w:val="left" w:pos="675"/>
          <w:tab w:val="clear" w:pos="425"/>
        </w:tabs>
        <w:adjustRightInd/>
        <w:snapToGrid/>
        <w:ind w:left="675" w:hanging="360"/>
      </w:pPr>
      <w:r>
        <w:rPr>
          <w:rFonts w:hint="eastAsia"/>
        </w:rPr>
        <w:t>在合同签订之日起三个工作日内，甲方向乙方支付合同设备总价的30%（第一期款），即人民币</w:t>
      </w:r>
      <w:r>
        <w:rPr>
          <w:rFonts w:hint="eastAsia"/>
          <w:u w:val="single"/>
        </w:rPr>
        <w:t>409500</w:t>
      </w:r>
      <w:r>
        <w:rPr>
          <w:rFonts w:hint="eastAsia"/>
        </w:rPr>
        <w:t>元（大写）</w:t>
      </w:r>
      <w:r>
        <w:rPr>
          <w:rFonts w:hint="eastAsia"/>
          <w:u w:val="single"/>
        </w:rPr>
        <w:t>：肆拾万玖仟伍佰元整</w:t>
      </w:r>
      <w:r>
        <w:rPr>
          <w:rFonts w:hint="eastAsia"/>
        </w:rPr>
        <w:t>作为定金，及双方确认井道图纸和现场电梯测量表后正式安排生产。</w:t>
      </w:r>
    </w:p>
    <w:p>
      <w:pPr>
        <w:numPr>
          <w:ilvl w:val="0"/>
          <w:numId w:val="4"/>
        </w:numPr>
        <w:tabs>
          <w:tab w:val="left" w:pos="675"/>
          <w:tab w:val="clear" w:pos="425"/>
        </w:tabs>
        <w:adjustRightInd/>
        <w:snapToGrid/>
        <w:ind w:left="675" w:hanging="360"/>
      </w:pPr>
      <w:r>
        <w:rPr>
          <w:rFonts w:hint="eastAsia"/>
        </w:rPr>
        <w:t>甲方提货前十日内，甲方一次性支付合同设备总价的60%（第二期款）汇入本合同乙方指定的户，即人民币</w:t>
      </w:r>
      <w:r>
        <w:rPr>
          <w:rFonts w:hint="eastAsia"/>
          <w:u w:val="single"/>
        </w:rPr>
        <w:t>819000元</w:t>
      </w:r>
      <w:r>
        <w:rPr>
          <w:rFonts w:hint="eastAsia"/>
        </w:rPr>
        <w:t xml:space="preserve">（大写）： </w:t>
      </w:r>
      <w:r>
        <w:rPr>
          <w:rFonts w:hint="eastAsia"/>
          <w:u w:val="single"/>
        </w:rPr>
        <w:t>捌拾壹万玖仟元整</w:t>
      </w:r>
      <w:r>
        <w:rPr>
          <w:rFonts w:hint="eastAsia"/>
        </w:rPr>
        <w:t>。</w:t>
      </w:r>
    </w:p>
    <w:p>
      <w:pPr>
        <w:numPr>
          <w:ilvl w:val="0"/>
          <w:numId w:val="4"/>
        </w:numPr>
        <w:tabs>
          <w:tab w:val="left" w:pos="675"/>
          <w:tab w:val="clear" w:pos="425"/>
        </w:tabs>
        <w:adjustRightInd/>
        <w:snapToGrid/>
        <w:ind w:left="675" w:hanging="360"/>
      </w:pPr>
      <w:r>
        <w:rPr>
          <w:rFonts w:hint="eastAsia"/>
        </w:rPr>
        <w:t>当地检验机构检验合格并发合格证的文件后，甲方向乙方支付电梯合同设备总价的10%即人民币</w:t>
      </w:r>
      <w:r>
        <w:rPr>
          <w:rFonts w:hint="eastAsia"/>
          <w:u w:val="single"/>
        </w:rPr>
        <w:t>136500</w:t>
      </w:r>
      <w:r>
        <w:rPr>
          <w:rFonts w:hint="eastAsia"/>
        </w:rPr>
        <w:t>元（大写）</w:t>
      </w:r>
      <w:r>
        <w:rPr>
          <w:rFonts w:hint="eastAsia"/>
          <w:u w:val="single"/>
        </w:rPr>
        <w:t xml:space="preserve"> 壹拾叁万陆仟伍佰元整</w:t>
      </w:r>
      <w:r>
        <w:rPr>
          <w:rFonts w:hint="eastAsia"/>
        </w:rPr>
        <w:t>。</w:t>
      </w:r>
    </w:p>
    <w:p>
      <w:pPr>
        <w:widowControl/>
        <w:adjustRightInd/>
        <w:snapToGrid/>
        <w:spacing w:line="240" w:lineRule="auto"/>
        <w:jc w:val="left"/>
        <w:rPr>
          <w:b/>
          <w:bCs/>
          <w:sz w:val="84"/>
          <w:szCs w:val="84"/>
        </w:rPr>
      </w:pPr>
      <w:r>
        <w:rPr>
          <w:b/>
          <w:bCs/>
          <w:sz w:val="84"/>
          <w:szCs w:val="84"/>
        </w:rPr>
        <w:br w:type="page"/>
      </w:r>
    </w:p>
    <w:p>
      <w:pPr>
        <w:pStyle w:val="2"/>
      </w:pPr>
      <w:bookmarkStart w:id="7" w:name="_Toc120891601"/>
      <w:r>
        <w:rPr>
          <w:rFonts w:hint="eastAsia"/>
        </w:rPr>
        <w:t>技术规格描述</w:t>
      </w:r>
      <w:bookmarkEnd w:id="7"/>
    </w:p>
    <w:p>
      <w:pPr>
        <w:pStyle w:val="3"/>
        <w:rPr>
          <w:sz w:val="24"/>
        </w:rPr>
      </w:pPr>
      <w:bookmarkStart w:id="8" w:name="_Toc120891602"/>
      <w:r>
        <w:rPr>
          <w:rFonts w:hint="eastAsia"/>
        </w:rPr>
        <w:t>产品技术参数及要求</w:t>
      </w:r>
      <w:bookmarkEnd w:id="8"/>
      <w:r>
        <w:rPr>
          <w:rFonts w:hint="eastAsia"/>
          <w:sz w:val="24"/>
        </w:rPr>
        <w:t xml:space="preserve"> </w:t>
      </w:r>
    </w:p>
    <w:p>
      <w:pPr>
        <w:numPr>
          <w:ilvl w:val="0"/>
          <w:numId w:val="5"/>
        </w:numPr>
        <w:rPr>
          <w:rFonts w:ascii="宋体" w:hAnsi="宋体"/>
        </w:rPr>
      </w:pPr>
      <w:r>
        <w:rPr>
          <w:rFonts w:hint="eastAsia" w:ascii="宋体" w:hAnsi="宋体"/>
        </w:rPr>
        <w:t>产品技术参数：</w:t>
      </w:r>
    </w:p>
    <w:p>
      <w:pPr>
        <w:numPr>
          <w:ilvl w:val="0"/>
          <w:numId w:val="6"/>
        </w:numPr>
        <w:ind w:firstLine="480" w:firstLineChars="200"/>
        <w:rPr>
          <w:rFonts w:ascii="宋体" w:hAnsi="宋体"/>
          <w:u w:val="single"/>
        </w:rPr>
      </w:pPr>
      <w:r>
        <w:rPr>
          <w:rFonts w:hint="eastAsia" w:ascii="宋体" w:hAnsi="宋体"/>
        </w:rPr>
        <w:t>型    号：</w:t>
      </w:r>
      <w:r>
        <w:rPr>
          <w:rFonts w:hint="eastAsia" w:ascii="宋体" w:hAnsi="宋体"/>
          <w:u w:val="single"/>
        </w:rPr>
        <w:t>THJ10000/1.0-JXW</w:t>
      </w:r>
    </w:p>
    <w:p>
      <w:pPr>
        <w:ind w:firstLine="480" w:firstLineChars="200"/>
        <w:rPr>
          <w:rFonts w:ascii="宋体" w:hAnsi="宋体"/>
        </w:rPr>
      </w:pPr>
      <w:r>
        <w:rPr>
          <w:rFonts w:hint="eastAsia" w:ascii="宋体" w:hAnsi="宋体"/>
        </w:rPr>
        <w:t>2、载 重 量</w:t>
      </w:r>
      <w:r>
        <w:rPr>
          <w:rFonts w:hint="eastAsia" w:ascii="宋体" w:hAnsi="宋体"/>
          <w:u w:val="single"/>
        </w:rPr>
        <w:t xml:space="preserve"> 10000 </w:t>
      </w:r>
      <w:r>
        <w:rPr>
          <w:rFonts w:hint="eastAsia" w:ascii="宋体" w:hAnsi="宋体"/>
        </w:rPr>
        <w:t>kg；速度：</w:t>
      </w:r>
      <w:r>
        <w:rPr>
          <w:rFonts w:hint="eastAsia" w:ascii="宋体" w:hAnsi="宋体"/>
          <w:u w:val="single"/>
        </w:rPr>
        <w:t xml:space="preserve"> 1.0 </w:t>
      </w:r>
      <w:r>
        <w:rPr>
          <w:rFonts w:hint="eastAsia" w:ascii="宋体" w:hAnsi="宋体"/>
        </w:rPr>
        <w:t>m/s ； 数量：</w:t>
      </w:r>
      <w:r>
        <w:rPr>
          <w:rFonts w:hint="eastAsia" w:ascii="宋体" w:hAnsi="宋体"/>
          <w:u w:val="single"/>
        </w:rPr>
        <w:t xml:space="preserve"> 1 </w:t>
      </w:r>
      <w:r>
        <w:rPr>
          <w:rFonts w:hint="eastAsia" w:ascii="宋体" w:hAnsi="宋体"/>
        </w:rPr>
        <w:t>台</w:t>
      </w:r>
    </w:p>
    <w:p>
      <w:pPr>
        <w:ind w:firstLine="480" w:firstLineChars="200"/>
        <w:rPr>
          <w:rFonts w:ascii="宋体" w:hAnsi="宋体"/>
        </w:rPr>
      </w:pPr>
      <w:r>
        <w:rPr>
          <w:rFonts w:hint="eastAsia" w:ascii="宋体" w:hAnsi="宋体"/>
        </w:rPr>
        <w:t>3、层    站：</w:t>
      </w:r>
      <w:r>
        <w:rPr>
          <w:rFonts w:hint="eastAsia" w:ascii="宋体" w:hAnsi="宋体"/>
          <w:u w:val="single"/>
        </w:rPr>
        <w:t xml:space="preserve">8 </w:t>
      </w:r>
      <w:r>
        <w:rPr>
          <w:rFonts w:hint="eastAsia" w:ascii="宋体" w:hAnsi="宋体"/>
        </w:rPr>
        <w:t>层</w:t>
      </w:r>
      <w:r>
        <w:rPr>
          <w:rFonts w:hint="eastAsia" w:ascii="宋体" w:hAnsi="宋体"/>
          <w:u w:val="single"/>
        </w:rPr>
        <w:t xml:space="preserve"> 8 </w:t>
      </w:r>
      <w:r>
        <w:rPr>
          <w:rFonts w:hint="eastAsia" w:ascii="宋体" w:hAnsi="宋体"/>
        </w:rPr>
        <w:t>站</w:t>
      </w:r>
      <w:r>
        <w:rPr>
          <w:rFonts w:hint="eastAsia" w:ascii="宋体" w:hAnsi="宋体"/>
          <w:u w:val="single"/>
        </w:rPr>
        <w:t xml:space="preserve"> 9 </w:t>
      </w:r>
      <w:r>
        <w:rPr>
          <w:rFonts w:hint="eastAsia" w:ascii="宋体" w:hAnsi="宋体"/>
        </w:rPr>
        <w:t xml:space="preserve">门 </w:t>
      </w:r>
    </w:p>
    <w:p>
      <w:pPr>
        <w:ind w:firstLine="480" w:firstLineChars="200"/>
        <w:rPr>
          <w:rFonts w:ascii="宋体" w:hAnsi="宋体"/>
          <w:u w:val="single"/>
        </w:rPr>
      </w:pPr>
      <w:r>
        <w:rPr>
          <w:rFonts w:hint="eastAsia" w:ascii="宋体" w:hAnsi="宋体"/>
        </w:rPr>
        <w:t>4、控制形式：单台集选、</w:t>
      </w:r>
      <w:r>
        <w:rPr>
          <w:rFonts w:hint="eastAsia" w:ascii="宋体" w:hAnsi="宋体"/>
          <w:u w:val="single"/>
        </w:rPr>
        <w:t xml:space="preserve">             </w:t>
      </w:r>
      <w:r>
        <w:rPr>
          <w:rFonts w:hint="eastAsia" w:ascii="宋体" w:hAnsi="宋体"/>
        </w:rPr>
        <w:t xml:space="preserve"> (       )</w:t>
      </w:r>
    </w:p>
    <w:p>
      <w:pPr>
        <w:ind w:firstLine="480" w:firstLineChars="200"/>
        <w:rPr>
          <w:rFonts w:ascii="宋体" w:hAnsi="宋体"/>
          <w:u w:val="single"/>
        </w:rPr>
      </w:pPr>
      <w:r>
        <w:rPr>
          <w:rFonts w:hint="eastAsia" w:ascii="宋体" w:hAnsi="宋体"/>
        </w:rPr>
        <w:t>5、井道尺寸：宽</w:t>
      </w:r>
      <w:r>
        <w:rPr>
          <w:rFonts w:hint="eastAsia" w:ascii="宋体" w:hAnsi="宋体"/>
          <w:u w:val="single"/>
        </w:rPr>
        <w:t xml:space="preserve">  4400 </w:t>
      </w:r>
      <w:r>
        <w:rPr>
          <w:rFonts w:hint="eastAsia" w:ascii="宋体" w:hAnsi="宋体"/>
        </w:rPr>
        <w:t>（mm）×深</w:t>
      </w:r>
      <w:r>
        <w:rPr>
          <w:rFonts w:hint="eastAsia" w:ascii="宋体" w:hAnsi="宋体"/>
          <w:u w:val="single"/>
        </w:rPr>
        <w:t xml:space="preserve"> 6950  </w:t>
      </w:r>
      <w:r>
        <w:rPr>
          <w:rFonts w:hint="eastAsia" w:ascii="宋体" w:hAnsi="宋体"/>
        </w:rPr>
        <w:t>（mm）(净尺寸)</w:t>
      </w:r>
    </w:p>
    <w:p>
      <w:pPr>
        <w:ind w:firstLine="480" w:firstLineChars="200"/>
        <w:rPr>
          <w:rFonts w:ascii="宋体" w:hAnsi="宋体"/>
          <w:u w:val="single"/>
        </w:rPr>
      </w:pPr>
      <w:r>
        <w:rPr>
          <w:rFonts w:hint="eastAsia" w:ascii="宋体" w:hAnsi="宋体"/>
        </w:rPr>
        <w:t>6、井道总高：</w:t>
      </w:r>
      <w:r>
        <w:rPr>
          <w:rFonts w:hint="eastAsia" w:ascii="宋体" w:hAnsi="宋体"/>
          <w:u w:val="single"/>
        </w:rPr>
        <w:t xml:space="preserve"> 按实际测量为准 </w:t>
      </w:r>
      <w:r>
        <w:rPr>
          <w:rFonts w:hint="eastAsia" w:ascii="宋体" w:hAnsi="宋体"/>
        </w:rPr>
        <w:t>（mm）；井道材料：□砖墙、□水泥墙  □其它</w:t>
      </w:r>
      <w:r>
        <w:rPr>
          <w:rFonts w:hint="eastAsia" w:ascii="宋体" w:hAnsi="宋体"/>
          <w:u w:val="single"/>
        </w:rPr>
        <w:t xml:space="preserve">        </w:t>
      </w:r>
    </w:p>
    <w:p>
      <w:pPr>
        <w:ind w:left="120" w:firstLine="304" w:firstLineChars="127"/>
        <w:rPr>
          <w:rFonts w:ascii="宋体" w:hAnsi="宋体"/>
        </w:rPr>
      </w:pPr>
      <w:r>
        <w:rPr>
          <w:rFonts w:hint="eastAsia" w:ascii="宋体" w:hAnsi="宋体"/>
        </w:rPr>
        <w:t>7、机房尺寸：</w:t>
      </w:r>
      <w:r>
        <w:rPr>
          <w:rFonts w:hint="eastAsia" w:ascii="宋体" w:hAnsi="宋体"/>
          <w:u w:val="single"/>
        </w:rPr>
        <w:t>4900</w:t>
      </w:r>
      <w:r>
        <w:rPr>
          <w:rFonts w:hint="eastAsia" w:ascii="宋体" w:hAnsi="宋体"/>
        </w:rPr>
        <w:t>(mm)×深</w:t>
      </w:r>
      <w:r>
        <w:rPr>
          <w:rFonts w:hint="eastAsia" w:ascii="宋体" w:hAnsi="宋体"/>
          <w:u w:val="single"/>
        </w:rPr>
        <w:t xml:space="preserve">8450 </w:t>
      </w:r>
      <w:r>
        <w:rPr>
          <w:rFonts w:hint="eastAsia" w:ascii="宋体" w:hAnsi="宋体"/>
        </w:rPr>
        <w:t>（mm）×高</w:t>
      </w:r>
      <w:r>
        <w:rPr>
          <w:rFonts w:hint="eastAsia" w:ascii="宋体" w:hAnsi="宋体"/>
          <w:u w:val="single"/>
        </w:rPr>
        <w:t xml:space="preserve"> 2900</w:t>
      </w:r>
      <w:r>
        <w:rPr>
          <w:rFonts w:hint="eastAsia" w:ascii="宋体" w:hAnsi="宋体"/>
        </w:rPr>
        <w:t>（mm）</w:t>
      </w:r>
    </w:p>
    <w:p>
      <w:pPr>
        <w:ind w:left="120" w:firstLine="304" w:firstLineChars="127"/>
        <w:rPr>
          <w:rFonts w:ascii="宋体" w:hAnsi="宋体"/>
          <w:u w:val="single"/>
        </w:rPr>
      </w:pPr>
      <w:r>
        <w:rPr>
          <w:rFonts w:hint="eastAsia" w:ascii="宋体" w:hAnsi="宋体"/>
        </w:rPr>
        <w:t>8、电梯停靠层站：</w:t>
      </w:r>
      <w:r>
        <w:rPr>
          <w:rFonts w:hint="eastAsia" w:ascii="宋体" w:hAnsi="宋体"/>
          <w:u w:val="single"/>
        </w:rPr>
        <w:t xml:space="preserve"> 1-4</w:t>
      </w:r>
    </w:p>
    <w:p>
      <w:pPr>
        <w:ind w:left="1094" w:leftChars="177" w:hanging="669" w:hangingChars="279"/>
        <w:rPr>
          <w:rFonts w:ascii="宋体" w:hAnsi="宋体"/>
        </w:rPr>
      </w:pPr>
      <w:r>
        <w:rPr>
          <w:rFonts w:hint="eastAsia" w:ascii="宋体" w:hAnsi="宋体"/>
        </w:rPr>
        <w:t>9、顶层高度：</w:t>
      </w:r>
      <w:r>
        <w:rPr>
          <w:rFonts w:hint="eastAsia" w:ascii="宋体" w:hAnsi="宋体"/>
          <w:u w:val="single"/>
        </w:rPr>
        <w:t xml:space="preserve"> 5180 </w:t>
      </w:r>
      <w:r>
        <w:rPr>
          <w:rFonts w:hint="eastAsia" w:ascii="宋体" w:hAnsi="宋体"/>
        </w:rPr>
        <w:t>（mm）；底坑深度</w:t>
      </w:r>
      <w:r>
        <w:rPr>
          <w:rFonts w:hint="eastAsia" w:ascii="宋体" w:hAnsi="宋体"/>
          <w:u w:val="single"/>
        </w:rPr>
        <w:t xml:space="preserve">1800 </w:t>
      </w:r>
      <w:r>
        <w:rPr>
          <w:rFonts w:hint="eastAsia" w:ascii="宋体" w:hAnsi="宋体"/>
        </w:rPr>
        <w:t>（mm）；提升高度按</w:t>
      </w:r>
      <w:r>
        <w:rPr>
          <w:rFonts w:hint="eastAsia" w:ascii="宋体" w:hAnsi="宋体"/>
          <w:u w:val="single"/>
        </w:rPr>
        <w:t xml:space="preserve">实际测量为准  </w:t>
      </w:r>
      <w:r>
        <w:rPr>
          <w:rFonts w:hint="eastAsia" w:ascii="宋体" w:hAnsi="宋体"/>
        </w:rPr>
        <w:t>（mm）</w:t>
      </w:r>
    </w:p>
    <w:p>
      <w:pPr>
        <w:ind w:left="120" w:firstLine="304" w:firstLineChars="127"/>
        <w:rPr>
          <w:rFonts w:ascii="宋体" w:hAnsi="宋体"/>
        </w:rPr>
      </w:pPr>
      <w:r>
        <w:rPr>
          <w:rFonts w:hint="eastAsia" w:ascii="宋体" w:hAnsi="宋体"/>
        </w:rPr>
        <w:t>10、轿厢尺寸：外尺寸宽：</w:t>
      </w:r>
      <w:r>
        <w:rPr>
          <w:rFonts w:hint="eastAsia" w:ascii="宋体" w:hAnsi="宋体"/>
          <w:u w:val="single"/>
        </w:rPr>
        <w:t xml:space="preserve">     </w:t>
      </w:r>
      <w:r>
        <w:rPr>
          <w:rFonts w:hint="eastAsia" w:ascii="宋体" w:hAnsi="宋体"/>
        </w:rPr>
        <w:t>（mm）深×</w:t>
      </w:r>
      <w:r>
        <w:rPr>
          <w:rFonts w:hint="eastAsia" w:ascii="宋体" w:hAnsi="宋体"/>
          <w:u w:val="single"/>
        </w:rPr>
        <w:t xml:space="preserve">     </w:t>
      </w:r>
      <w:r>
        <w:rPr>
          <w:rFonts w:hint="eastAsia" w:ascii="宋体" w:hAnsi="宋体"/>
        </w:rPr>
        <w:t>(mm)</w:t>
      </w:r>
    </w:p>
    <w:p>
      <w:pPr>
        <w:ind w:left="120" w:firstLine="1680" w:firstLineChars="700"/>
        <w:rPr>
          <w:rFonts w:ascii="宋体" w:hAnsi="宋体"/>
        </w:rPr>
      </w:pPr>
      <w:r>
        <w:rPr>
          <w:rFonts w:hint="eastAsia" w:ascii="宋体" w:hAnsi="宋体"/>
        </w:rPr>
        <w:t>内尺寸宽：</w:t>
      </w:r>
      <w:r>
        <w:rPr>
          <w:rFonts w:hint="eastAsia" w:ascii="宋体" w:hAnsi="宋体"/>
          <w:u w:val="single"/>
        </w:rPr>
        <w:t>2600</w:t>
      </w:r>
      <w:r>
        <w:rPr>
          <w:rFonts w:hint="eastAsia" w:ascii="宋体" w:hAnsi="宋体"/>
        </w:rPr>
        <w:t>（mm）深×</w:t>
      </w:r>
      <w:r>
        <w:rPr>
          <w:rFonts w:hint="eastAsia" w:ascii="宋体" w:hAnsi="宋体"/>
          <w:u w:val="single"/>
        </w:rPr>
        <w:t>6300</w:t>
      </w:r>
      <w:r>
        <w:rPr>
          <w:rFonts w:hint="eastAsia" w:ascii="宋体" w:hAnsi="宋体"/>
        </w:rPr>
        <w:t>(mm)×高</w:t>
      </w:r>
      <w:r>
        <w:rPr>
          <w:rFonts w:hint="eastAsia" w:ascii="宋体" w:hAnsi="宋体"/>
          <w:u w:val="single"/>
        </w:rPr>
        <w:t>2800</w:t>
      </w:r>
      <w:r>
        <w:rPr>
          <w:rFonts w:hint="eastAsia" w:ascii="宋体" w:hAnsi="宋体"/>
        </w:rPr>
        <w:t>（mm）</w:t>
      </w:r>
    </w:p>
    <w:p>
      <w:pPr>
        <w:ind w:left="120" w:firstLine="304" w:firstLineChars="127"/>
        <w:rPr>
          <w:rFonts w:ascii="宋体" w:hAnsi="宋体"/>
        </w:rPr>
      </w:pPr>
      <w:r>
        <w:rPr>
          <w:rFonts w:hint="eastAsia" w:ascii="宋体" w:hAnsi="宋体"/>
        </w:rPr>
        <w:t xml:space="preserve">11、开门形式：中分门 </w:t>
      </w:r>
    </w:p>
    <w:p>
      <w:pPr>
        <w:ind w:firstLine="480"/>
        <w:rPr>
          <w:rFonts w:ascii="宋体" w:hAnsi="宋体"/>
        </w:rPr>
      </w:pPr>
      <w:r>
        <w:rPr>
          <w:rFonts w:hint="eastAsia" w:ascii="宋体" w:hAnsi="宋体"/>
        </w:rPr>
        <w:t>12、开门宽度：</w:t>
      </w:r>
      <w:r>
        <w:rPr>
          <w:rFonts w:hint="eastAsia" w:ascii="宋体" w:hAnsi="宋体"/>
          <w:u w:val="single"/>
        </w:rPr>
        <w:t>2600</w:t>
      </w:r>
      <w:r>
        <w:rPr>
          <w:rFonts w:hint="eastAsia" w:ascii="宋体" w:hAnsi="宋体"/>
        </w:rPr>
        <w:t>（mm），门口高度：</w:t>
      </w:r>
      <w:r>
        <w:rPr>
          <w:rFonts w:hint="eastAsia" w:ascii="宋体" w:hAnsi="宋体"/>
          <w:u w:val="single"/>
        </w:rPr>
        <w:t>2700</w:t>
      </w:r>
      <w:r>
        <w:rPr>
          <w:rFonts w:hint="eastAsia" w:ascii="宋体" w:hAnsi="宋体"/>
        </w:rPr>
        <w:t>（mm）</w:t>
      </w:r>
    </w:p>
    <w:p>
      <w:pPr>
        <w:ind w:firstLine="480"/>
        <w:rPr>
          <w:rFonts w:ascii="宋体" w:hAnsi="宋体"/>
        </w:rPr>
      </w:pPr>
      <w:r>
        <w:rPr>
          <w:rFonts w:hint="eastAsia" w:ascii="宋体" w:hAnsi="宋体"/>
        </w:rPr>
        <w:t>13、轿内操纵箱：（一体式 ）型、外呼召唤箱：（ 液晶显示  ）型</w:t>
      </w:r>
    </w:p>
    <w:p>
      <w:pPr>
        <w:ind w:firstLine="480" w:firstLineChars="200"/>
        <w:rPr>
          <w:rFonts w:ascii="宋体" w:hAnsi="宋体"/>
        </w:rPr>
      </w:pPr>
      <w:r>
        <w:rPr>
          <w:rFonts w:hint="eastAsia" w:ascii="宋体" w:hAnsi="宋体"/>
        </w:rPr>
        <w:t>14、轿厢装饰：钢板喷漆</w:t>
      </w:r>
    </w:p>
    <w:p>
      <w:pPr>
        <w:ind w:firstLine="480" w:firstLineChars="200"/>
        <w:rPr>
          <w:rFonts w:ascii="宋体" w:hAnsi="宋体"/>
        </w:rPr>
      </w:pPr>
      <w:r>
        <w:rPr>
          <w:rFonts w:hint="eastAsia" w:ascii="宋体" w:hAnsi="宋体"/>
        </w:rPr>
        <w:t>15、轿顶照明：钢板喷漆加LED灯</w:t>
      </w:r>
    </w:p>
    <w:p>
      <w:pPr>
        <w:ind w:firstLine="480"/>
        <w:rPr>
          <w:rFonts w:ascii="宋体" w:hAnsi="宋体"/>
        </w:rPr>
      </w:pPr>
      <w:r>
        <w:rPr>
          <w:rFonts w:hint="eastAsia" w:ascii="宋体" w:hAnsi="宋体"/>
        </w:rPr>
        <w:t>16、轿厢地板：6.0mm防滑花纹钢板</w:t>
      </w:r>
    </w:p>
    <w:p>
      <w:pPr>
        <w:ind w:firstLine="480"/>
        <w:rPr>
          <w:rFonts w:ascii="宋体" w:hAnsi="宋体"/>
        </w:rPr>
      </w:pPr>
      <w:r>
        <w:rPr>
          <w:rFonts w:hint="eastAsia" w:ascii="宋体" w:hAnsi="宋体"/>
        </w:rPr>
        <w:t>17、首层厅门及轿门装饰：钢板喷漆</w:t>
      </w:r>
    </w:p>
    <w:p>
      <w:pPr>
        <w:ind w:firstLine="480" w:firstLineChars="200"/>
        <w:rPr>
          <w:rFonts w:ascii="宋体" w:hAnsi="宋体"/>
        </w:rPr>
      </w:pPr>
      <w:r>
        <w:rPr>
          <w:rFonts w:hint="eastAsia" w:ascii="宋体" w:hAnsi="宋体"/>
        </w:rPr>
        <w:t>18、其余厅门装饰：1.5mm钢板喷漆</w:t>
      </w:r>
    </w:p>
    <w:p>
      <w:pPr>
        <w:ind w:firstLine="480" w:firstLineChars="200"/>
        <w:rPr>
          <w:rFonts w:ascii="宋体" w:hAnsi="宋体"/>
        </w:rPr>
      </w:pPr>
      <w:r>
        <w:rPr>
          <w:rFonts w:hint="eastAsia" w:ascii="宋体" w:hAnsi="宋体"/>
        </w:rPr>
        <w:t>19、首层小门框：1.5mm钢板喷漆</w:t>
      </w:r>
    </w:p>
    <w:p>
      <w:pPr>
        <w:ind w:firstLine="480" w:firstLineChars="200"/>
        <w:rPr>
          <w:rFonts w:ascii="宋体" w:hAnsi="宋体"/>
        </w:rPr>
      </w:pPr>
      <w:r>
        <w:rPr>
          <w:rFonts w:hint="eastAsia" w:ascii="宋体" w:hAnsi="宋体"/>
        </w:rPr>
        <w:t>20、其余小门框：1.5mm钢板喷漆</w:t>
      </w:r>
    </w:p>
    <w:p>
      <w:pPr>
        <w:ind w:firstLine="480"/>
        <w:rPr>
          <w:rFonts w:ascii="宋体" w:hAnsi="宋体"/>
        </w:rPr>
      </w:pPr>
      <w:r>
        <w:rPr>
          <w:rFonts w:hint="eastAsia" w:ascii="宋体" w:hAnsi="宋体"/>
        </w:rPr>
        <w:t>21、厅门指示器：数字显示式（  √  ）、方向显示（</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w:t>
      </w:r>
    </w:p>
    <w:p>
      <w:pPr>
        <w:ind w:firstLine="480"/>
        <w:rPr>
          <w:rFonts w:ascii="宋体" w:hAnsi="宋体"/>
        </w:rPr>
      </w:pPr>
      <w:r>
        <w:rPr>
          <w:rFonts w:hint="eastAsia" w:ascii="宋体" w:hAnsi="宋体"/>
        </w:rPr>
        <w:t xml:space="preserve">22、轿内指示器：数字显示式（  </w:t>
      </w:r>
      <w:r>
        <w:rPr>
          <w:rFonts w:hint="eastAsia" w:ascii="宋体" w:hAnsi="宋体"/>
          <w:b/>
        </w:rPr>
        <w:t xml:space="preserve"> </w:t>
      </w:r>
      <w:r>
        <w:rPr>
          <w:rFonts w:hint="eastAsia" w:ascii="宋体" w:hAnsi="宋体"/>
        </w:rPr>
        <w:t>√</w:t>
      </w:r>
      <w:r>
        <w:rPr>
          <w:rFonts w:hint="eastAsia" w:ascii="宋体" w:hAnsi="宋体"/>
          <w:b/>
        </w:rPr>
        <w:t xml:space="preserve"> </w:t>
      </w:r>
      <w:r>
        <w:rPr>
          <w:rFonts w:hint="eastAsia" w:ascii="宋体" w:hAnsi="宋体"/>
        </w:rPr>
        <w:t>）、方向显示（   √  ）</w:t>
      </w:r>
    </w:p>
    <w:p>
      <w:pPr>
        <w:ind w:firstLine="480"/>
        <w:rPr>
          <w:rFonts w:ascii="宋体" w:hAnsi="宋体"/>
          <w:u w:val="single"/>
        </w:rPr>
      </w:pPr>
      <w:r>
        <w:rPr>
          <w:rFonts w:hint="eastAsia" w:ascii="宋体" w:hAnsi="宋体"/>
        </w:rPr>
        <w:t xml:space="preserve">23、通讯方式：对讲机（  √ </w:t>
      </w:r>
      <w:r>
        <w:rPr>
          <w:rFonts w:hint="eastAsia" w:ascii="宋体" w:hAnsi="宋体"/>
          <w:b/>
        </w:rPr>
        <w:t xml:space="preserve"> </w:t>
      </w:r>
      <w:r>
        <w:rPr>
          <w:rFonts w:hint="eastAsia" w:ascii="宋体" w:hAnsi="宋体"/>
        </w:rPr>
        <w:t>）、警铃（</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）、其它</w:t>
      </w:r>
      <w:r>
        <w:rPr>
          <w:rFonts w:hint="eastAsia" w:ascii="宋体" w:hAnsi="宋体"/>
          <w:u w:val="single"/>
        </w:rPr>
        <w:t xml:space="preserve">   五方通话     </w:t>
      </w:r>
    </w:p>
    <w:p>
      <w:pPr>
        <w:rPr>
          <w:rFonts w:ascii="宋体" w:hAnsi="宋体"/>
        </w:rPr>
      </w:pPr>
      <w:r>
        <w:rPr>
          <w:rFonts w:hint="eastAsia" w:ascii="宋体" w:hAnsi="宋体"/>
        </w:rPr>
        <w:t>二、交货期：</w:t>
      </w:r>
      <w:r>
        <w:rPr>
          <w:rFonts w:hint="eastAsia" w:ascii="宋体" w:hAnsi="宋体"/>
          <w:u w:val="single"/>
        </w:rPr>
        <w:t xml:space="preserve">        </w:t>
      </w:r>
      <w:r>
        <w:rPr>
          <w:rFonts w:hint="eastAsia" w:ascii="宋体" w:hAnsi="宋体"/>
        </w:rPr>
        <w:t>年</w:t>
      </w:r>
      <w:r>
        <w:rPr>
          <w:rFonts w:hint="eastAsia" w:ascii="宋体" w:hAnsi="宋体"/>
          <w:u w:val="single"/>
        </w:rPr>
        <w:t xml:space="preserve">      </w:t>
      </w:r>
      <w:r>
        <w:rPr>
          <w:rFonts w:hint="eastAsia" w:ascii="宋体" w:hAnsi="宋体"/>
        </w:rPr>
        <w:t>月</w:t>
      </w:r>
      <w:r>
        <w:rPr>
          <w:rFonts w:hint="eastAsia" w:ascii="宋体" w:hAnsi="宋体"/>
          <w:u w:val="single"/>
        </w:rPr>
        <w:t xml:space="preserve">      </w:t>
      </w:r>
      <w:r>
        <w:rPr>
          <w:rFonts w:hint="eastAsia" w:ascii="宋体" w:hAnsi="宋体"/>
        </w:rPr>
        <w:t>日</w:t>
      </w:r>
    </w:p>
    <w:p>
      <w:pPr>
        <w:rPr>
          <w:rFonts w:ascii="宋体" w:hAnsi="宋体"/>
        </w:rPr>
      </w:pPr>
      <w:r>
        <w:rPr>
          <w:rFonts w:hint="eastAsia" w:ascii="宋体" w:hAnsi="宋体"/>
        </w:rPr>
        <w:t>三、要求：</w:t>
      </w:r>
    </w:p>
    <w:p>
      <w:pPr>
        <w:ind w:left="360"/>
        <w:rPr>
          <w:rFonts w:ascii="宋体" w:hAnsi="宋体"/>
        </w:rPr>
      </w:pPr>
      <w:r>
        <w:rPr>
          <w:rFonts w:hint="eastAsia" w:ascii="宋体" w:hAnsi="宋体"/>
        </w:rPr>
        <w:t>（1）是否含包装：■是   □否； （2）包装方式：■木箱包装   □简易包装</w:t>
      </w:r>
    </w:p>
    <w:p>
      <w:pPr>
        <w:ind w:left="360"/>
        <w:rPr>
          <w:rFonts w:ascii="宋体" w:hAnsi="宋体"/>
        </w:rPr>
      </w:pPr>
      <w:r>
        <w:rPr>
          <w:rFonts w:hint="eastAsia" w:ascii="宋体" w:hAnsi="宋体"/>
        </w:rPr>
        <w:t xml:space="preserve">（3）是否含运输：■是   </w:t>
      </w:r>
      <w:r>
        <w:rPr>
          <w:rFonts w:hint="eastAsia" w:ascii="宋体" w:hAnsi="宋体"/>
        </w:rPr>
        <w:sym w:font="Wingdings 2" w:char="00A3"/>
      </w:r>
      <w:r>
        <w:rPr>
          <w:rFonts w:hint="eastAsia" w:ascii="宋体" w:hAnsi="宋体"/>
        </w:rPr>
        <w:t xml:space="preserve"> 否； （4）是否含安装：■是  </w:t>
      </w:r>
      <w:r>
        <w:rPr>
          <w:rFonts w:hint="eastAsia" w:ascii="宋体" w:hAnsi="宋体"/>
        </w:rPr>
        <w:sym w:font="Wingdings 2" w:char="00A3"/>
      </w:r>
      <w:r>
        <w:rPr>
          <w:rFonts w:hint="eastAsia" w:ascii="宋体" w:hAnsi="宋体"/>
        </w:rPr>
        <w:t xml:space="preserve"> 否</w:t>
      </w:r>
    </w:p>
    <w:p>
      <w:pPr>
        <w:rPr>
          <w:rFonts w:ascii="宋体" w:hAnsi="宋体"/>
        </w:rPr>
      </w:pPr>
      <w:r>
        <w:rPr>
          <w:rFonts w:hint="eastAsia" w:ascii="宋体" w:hAnsi="宋体"/>
        </w:rPr>
        <w:t>四、其它要求：</w:t>
      </w:r>
    </w:p>
    <w:p/>
    <w:p>
      <w:pPr>
        <w:pStyle w:val="3"/>
      </w:pPr>
      <w:bookmarkStart w:id="9" w:name="_Toc120891603"/>
      <w:r>
        <w:rPr>
          <w:rFonts w:hint="eastAsia"/>
          <w:szCs w:val="21"/>
        </w:rPr>
        <w:t>产品技术参数及要求</w:t>
      </w:r>
      <w:bookmarkEnd w:id="9"/>
      <w:r>
        <w:rPr>
          <w:rFonts w:hint="eastAsia"/>
        </w:rPr>
        <w:t xml:space="preserve"> </w:t>
      </w:r>
    </w:p>
    <w:p>
      <w:pPr>
        <w:numPr>
          <w:ilvl w:val="0"/>
          <w:numId w:val="5"/>
        </w:numPr>
        <w:adjustRightInd/>
        <w:rPr>
          <w:rFonts w:ascii="宋体" w:hAnsi="宋体"/>
        </w:rPr>
      </w:pPr>
      <w:r>
        <w:rPr>
          <w:rFonts w:hint="eastAsia" w:ascii="宋体" w:hAnsi="宋体"/>
        </w:rPr>
        <w:t>产品技术参数：</w:t>
      </w:r>
    </w:p>
    <w:p>
      <w:pPr>
        <w:numPr>
          <w:ilvl w:val="0"/>
          <w:numId w:val="7"/>
        </w:numPr>
        <w:adjustRightInd/>
        <w:ind w:left="840" w:hanging="360"/>
        <w:rPr>
          <w:rFonts w:ascii="宋体" w:hAnsi="宋体"/>
          <w:u w:val="single"/>
        </w:rPr>
      </w:pPr>
      <w:r>
        <w:rPr>
          <w:rFonts w:hint="eastAsia" w:ascii="宋体" w:hAnsi="宋体"/>
        </w:rPr>
        <w:t>型    号：</w:t>
      </w:r>
      <w:r>
        <w:rPr>
          <w:rFonts w:hint="eastAsia" w:ascii="宋体" w:hAnsi="宋体"/>
          <w:u w:val="single"/>
        </w:rPr>
        <w:t>THJ5000/1.0-JXW</w:t>
      </w:r>
    </w:p>
    <w:p>
      <w:pPr>
        <w:ind w:firstLine="480" w:firstLineChars="200"/>
        <w:rPr>
          <w:rFonts w:ascii="宋体" w:hAnsi="宋体"/>
        </w:rPr>
      </w:pPr>
      <w:r>
        <w:rPr>
          <w:rFonts w:hint="eastAsia" w:ascii="宋体" w:hAnsi="宋体"/>
        </w:rPr>
        <w:t>2、载 重 量</w:t>
      </w:r>
      <w:r>
        <w:rPr>
          <w:rFonts w:hint="eastAsia" w:ascii="宋体" w:hAnsi="宋体"/>
          <w:u w:val="single"/>
        </w:rPr>
        <w:t xml:space="preserve"> 5000 </w:t>
      </w:r>
      <w:r>
        <w:rPr>
          <w:rFonts w:hint="eastAsia" w:ascii="宋体" w:hAnsi="宋体"/>
        </w:rPr>
        <w:t>kg；速度：</w:t>
      </w:r>
      <w:r>
        <w:rPr>
          <w:rFonts w:hint="eastAsia" w:ascii="宋体" w:hAnsi="宋体"/>
          <w:u w:val="single"/>
        </w:rPr>
        <w:t xml:space="preserve"> 1.0 </w:t>
      </w:r>
      <w:r>
        <w:rPr>
          <w:rFonts w:hint="eastAsia" w:ascii="宋体" w:hAnsi="宋体"/>
        </w:rPr>
        <w:t>m/s ； 数量：</w:t>
      </w:r>
      <w:r>
        <w:rPr>
          <w:rFonts w:hint="eastAsia" w:ascii="宋体" w:hAnsi="宋体"/>
          <w:u w:val="single"/>
        </w:rPr>
        <w:t xml:space="preserve"> 2 </w:t>
      </w:r>
      <w:r>
        <w:rPr>
          <w:rFonts w:hint="eastAsia" w:ascii="宋体" w:hAnsi="宋体"/>
        </w:rPr>
        <w:t>台</w:t>
      </w:r>
    </w:p>
    <w:p>
      <w:pPr>
        <w:ind w:firstLine="480" w:firstLineChars="200"/>
        <w:rPr>
          <w:rFonts w:ascii="宋体" w:hAnsi="宋体"/>
        </w:rPr>
      </w:pPr>
      <w:r>
        <w:rPr>
          <w:rFonts w:hint="eastAsia" w:ascii="宋体" w:hAnsi="宋体"/>
        </w:rPr>
        <w:t>3、层    站：</w:t>
      </w:r>
      <w:r>
        <w:rPr>
          <w:rFonts w:hint="eastAsia" w:ascii="宋体" w:hAnsi="宋体"/>
          <w:u w:val="single"/>
        </w:rPr>
        <w:t xml:space="preserve">8 </w:t>
      </w:r>
      <w:r>
        <w:rPr>
          <w:rFonts w:hint="eastAsia" w:ascii="宋体" w:hAnsi="宋体"/>
        </w:rPr>
        <w:t>层</w:t>
      </w:r>
      <w:r>
        <w:rPr>
          <w:rFonts w:hint="eastAsia" w:ascii="宋体" w:hAnsi="宋体"/>
          <w:u w:val="single"/>
        </w:rPr>
        <w:t xml:space="preserve"> 8 </w:t>
      </w:r>
      <w:r>
        <w:rPr>
          <w:rFonts w:hint="eastAsia" w:ascii="宋体" w:hAnsi="宋体"/>
        </w:rPr>
        <w:t>站</w:t>
      </w:r>
      <w:r>
        <w:rPr>
          <w:rFonts w:hint="eastAsia" w:ascii="宋体" w:hAnsi="宋体"/>
          <w:u w:val="single"/>
        </w:rPr>
        <w:t xml:space="preserve"> 9 </w:t>
      </w:r>
      <w:r>
        <w:rPr>
          <w:rFonts w:hint="eastAsia" w:ascii="宋体" w:hAnsi="宋体"/>
        </w:rPr>
        <w:t xml:space="preserve">门 </w:t>
      </w:r>
    </w:p>
    <w:p>
      <w:pPr>
        <w:ind w:firstLine="480" w:firstLineChars="200"/>
        <w:rPr>
          <w:rFonts w:ascii="宋体" w:hAnsi="宋体"/>
          <w:u w:val="single"/>
        </w:rPr>
      </w:pPr>
      <w:r>
        <w:rPr>
          <w:rFonts w:hint="eastAsia" w:ascii="宋体" w:hAnsi="宋体"/>
        </w:rPr>
        <w:t>4、控制形式：单台集选、</w:t>
      </w:r>
      <w:r>
        <w:rPr>
          <w:rFonts w:hint="eastAsia" w:ascii="宋体" w:hAnsi="宋体"/>
          <w:u w:val="single"/>
        </w:rPr>
        <w:t xml:space="preserve">             </w:t>
      </w:r>
      <w:r>
        <w:rPr>
          <w:rFonts w:hint="eastAsia" w:ascii="宋体" w:hAnsi="宋体"/>
        </w:rPr>
        <w:t xml:space="preserve"> (       )</w:t>
      </w:r>
    </w:p>
    <w:p>
      <w:pPr>
        <w:ind w:left="360" w:firstLine="64" w:firstLineChars="27"/>
        <w:rPr>
          <w:rFonts w:ascii="宋体" w:hAnsi="宋体"/>
          <w:u w:val="single"/>
        </w:rPr>
      </w:pPr>
      <w:r>
        <w:rPr>
          <w:rFonts w:hint="eastAsia" w:ascii="宋体" w:hAnsi="宋体"/>
        </w:rPr>
        <w:t>5、井道尺寸：宽</w:t>
      </w:r>
      <w:r>
        <w:rPr>
          <w:rFonts w:hint="eastAsia" w:ascii="宋体" w:hAnsi="宋体"/>
          <w:u w:val="single"/>
        </w:rPr>
        <w:t xml:space="preserve">  4600 </w:t>
      </w:r>
      <w:r>
        <w:rPr>
          <w:rFonts w:hint="eastAsia" w:ascii="宋体" w:hAnsi="宋体"/>
        </w:rPr>
        <w:t>（mm）×深</w:t>
      </w:r>
      <w:r>
        <w:rPr>
          <w:rFonts w:hint="eastAsia" w:ascii="宋体" w:hAnsi="宋体"/>
          <w:u w:val="single"/>
        </w:rPr>
        <w:t xml:space="preserve"> 4200  </w:t>
      </w:r>
      <w:r>
        <w:rPr>
          <w:rFonts w:hint="eastAsia" w:ascii="宋体" w:hAnsi="宋体"/>
        </w:rPr>
        <w:t>（mm）(净尺寸)</w:t>
      </w:r>
    </w:p>
    <w:p>
      <w:pPr>
        <w:ind w:left="120" w:firstLine="304" w:firstLineChars="127"/>
        <w:rPr>
          <w:rFonts w:ascii="宋体" w:hAnsi="宋体"/>
          <w:u w:val="single"/>
        </w:rPr>
      </w:pPr>
      <w:r>
        <w:rPr>
          <w:rFonts w:hint="eastAsia" w:ascii="宋体" w:hAnsi="宋体"/>
        </w:rPr>
        <w:t>6、井道总高：</w:t>
      </w:r>
      <w:r>
        <w:rPr>
          <w:rFonts w:hint="eastAsia" w:ascii="宋体" w:hAnsi="宋体"/>
          <w:u w:val="single"/>
        </w:rPr>
        <w:t xml:space="preserve"> 按实际测量为准 </w:t>
      </w:r>
      <w:r>
        <w:rPr>
          <w:rFonts w:hint="eastAsia" w:ascii="宋体" w:hAnsi="宋体"/>
        </w:rPr>
        <w:t>（mm）；井道材料：□砖墙、□水泥墙  □其它</w:t>
      </w:r>
      <w:r>
        <w:rPr>
          <w:rFonts w:hint="eastAsia" w:ascii="宋体" w:hAnsi="宋体"/>
          <w:u w:val="single"/>
        </w:rPr>
        <w:t xml:space="preserve">        </w:t>
      </w:r>
    </w:p>
    <w:p>
      <w:pPr>
        <w:ind w:left="120" w:firstLine="304" w:firstLineChars="127"/>
        <w:rPr>
          <w:rFonts w:ascii="宋体" w:hAnsi="宋体"/>
        </w:rPr>
      </w:pPr>
      <w:r>
        <w:rPr>
          <w:rFonts w:hint="eastAsia" w:ascii="宋体" w:hAnsi="宋体"/>
        </w:rPr>
        <w:t>7、机房尺寸：</w:t>
      </w:r>
      <w:r>
        <w:rPr>
          <w:rFonts w:hint="eastAsia" w:ascii="宋体" w:hAnsi="宋体"/>
          <w:u w:val="single"/>
        </w:rPr>
        <w:t>9400</w:t>
      </w:r>
      <w:r>
        <w:rPr>
          <w:rFonts w:hint="eastAsia" w:ascii="宋体" w:hAnsi="宋体"/>
        </w:rPr>
        <w:t>(mm)×深</w:t>
      </w:r>
      <w:r>
        <w:rPr>
          <w:rFonts w:hint="eastAsia" w:ascii="宋体" w:hAnsi="宋体"/>
          <w:u w:val="single"/>
        </w:rPr>
        <w:t xml:space="preserve">5700 </w:t>
      </w:r>
      <w:r>
        <w:rPr>
          <w:rFonts w:hint="eastAsia" w:ascii="宋体" w:hAnsi="宋体"/>
        </w:rPr>
        <w:t>（mm）×高</w:t>
      </w:r>
      <w:r>
        <w:rPr>
          <w:rFonts w:hint="eastAsia" w:ascii="宋体" w:hAnsi="宋体"/>
          <w:u w:val="single"/>
        </w:rPr>
        <w:t xml:space="preserve"> 2650</w:t>
      </w:r>
      <w:r>
        <w:rPr>
          <w:rFonts w:hint="eastAsia" w:ascii="宋体" w:hAnsi="宋体"/>
        </w:rPr>
        <w:t>（mm）</w:t>
      </w:r>
    </w:p>
    <w:p>
      <w:pPr>
        <w:ind w:left="120" w:firstLine="304" w:firstLineChars="127"/>
        <w:rPr>
          <w:rFonts w:ascii="宋体" w:hAnsi="宋体"/>
          <w:u w:val="single"/>
        </w:rPr>
      </w:pPr>
      <w:r>
        <w:rPr>
          <w:rFonts w:hint="eastAsia" w:ascii="宋体" w:hAnsi="宋体"/>
        </w:rPr>
        <w:t>8、电梯停靠层站：</w:t>
      </w:r>
      <w:r>
        <w:rPr>
          <w:rFonts w:hint="eastAsia" w:ascii="宋体" w:hAnsi="宋体"/>
          <w:u w:val="single"/>
        </w:rPr>
        <w:t xml:space="preserve"> 1-4</w:t>
      </w:r>
    </w:p>
    <w:p>
      <w:pPr>
        <w:ind w:left="1094" w:leftChars="177" w:hanging="669" w:hangingChars="279"/>
        <w:rPr>
          <w:rFonts w:ascii="宋体" w:hAnsi="宋体"/>
        </w:rPr>
      </w:pPr>
      <w:r>
        <w:rPr>
          <w:rFonts w:hint="eastAsia" w:ascii="宋体" w:hAnsi="宋体"/>
        </w:rPr>
        <w:t>9、顶层高度：</w:t>
      </w:r>
      <w:r>
        <w:rPr>
          <w:rFonts w:hint="eastAsia" w:ascii="宋体" w:hAnsi="宋体"/>
          <w:u w:val="single"/>
        </w:rPr>
        <w:t xml:space="preserve"> 5180 </w:t>
      </w:r>
      <w:r>
        <w:rPr>
          <w:rFonts w:hint="eastAsia" w:ascii="宋体" w:hAnsi="宋体"/>
        </w:rPr>
        <w:t>（mm）；底坑深度</w:t>
      </w:r>
      <w:r>
        <w:rPr>
          <w:rFonts w:hint="eastAsia" w:ascii="宋体" w:hAnsi="宋体"/>
          <w:u w:val="single"/>
        </w:rPr>
        <w:t xml:space="preserve">按实际测量为准 </w:t>
      </w:r>
      <w:r>
        <w:rPr>
          <w:rFonts w:hint="eastAsia" w:ascii="宋体" w:hAnsi="宋体"/>
        </w:rPr>
        <w:t>（1700）；提升高度按</w:t>
      </w:r>
      <w:r>
        <w:rPr>
          <w:rFonts w:hint="eastAsia" w:ascii="宋体" w:hAnsi="宋体"/>
          <w:u w:val="single"/>
        </w:rPr>
        <w:t xml:space="preserve">实际测量为准  </w:t>
      </w:r>
      <w:r>
        <w:rPr>
          <w:rFonts w:hint="eastAsia" w:ascii="宋体" w:hAnsi="宋体"/>
        </w:rPr>
        <w:t>（mm）</w:t>
      </w:r>
    </w:p>
    <w:p>
      <w:pPr>
        <w:ind w:left="120" w:firstLine="304" w:firstLineChars="127"/>
        <w:rPr>
          <w:rFonts w:ascii="宋体" w:hAnsi="宋体"/>
        </w:rPr>
      </w:pPr>
      <w:r>
        <w:rPr>
          <w:rFonts w:hint="eastAsia" w:ascii="宋体" w:hAnsi="宋体"/>
        </w:rPr>
        <w:t>10、轿厢尺寸：外尺寸宽：</w:t>
      </w:r>
      <w:r>
        <w:rPr>
          <w:rFonts w:hint="eastAsia" w:ascii="宋体" w:hAnsi="宋体"/>
          <w:u w:val="single"/>
        </w:rPr>
        <w:t xml:space="preserve">     </w:t>
      </w:r>
      <w:r>
        <w:rPr>
          <w:rFonts w:hint="eastAsia" w:ascii="宋体" w:hAnsi="宋体"/>
        </w:rPr>
        <w:t>（mm）深×</w:t>
      </w:r>
      <w:r>
        <w:rPr>
          <w:rFonts w:hint="eastAsia" w:ascii="宋体" w:hAnsi="宋体"/>
          <w:u w:val="single"/>
        </w:rPr>
        <w:t xml:space="preserve">     </w:t>
      </w:r>
      <w:r>
        <w:rPr>
          <w:rFonts w:hint="eastAsia" w:ascii="宋体" w:hAnsi="宋体"/>
        </w:rPr>
        <w:t>(mm)</w:t>
      </w:r>
    </w:p>
    <w:p>
      <w:pPr>
        <w:ind w:left="120" w:firstLine="1720" w:firstLineChars="717"/>
        <w:rPr>
          <w:rFonts w:ascii="宋体" w:hAnsi="宋体"/>
        </w:rPr>
      </w:pPr>
      <w:r>
        <w:rPr>
          <w:rFonts w:hint="eastAsia" w:ascii="宋体" w:hAnsi="宋体"/>
        </w:rPr>
        <w:t>内尺寸宽：</w:t>
      </w:r>
      <w:r>
        <w:rPr>
          <w:rFonts w:hint="eastAsia" w:ascii="宋体" w:hAnsi="宋体"/>
          <w:u w:val="single"/>
        </w:rPr>
        <w:t>2600</w:t>
      </w:r>
      <w:r>
        <w:rPr>
          <w:rFonts w:hint="eastAsia" w:ascii="宋体" w:hAnsi="宋体"/>
        </w:rPr>
        <w:t>（mm）深×</w:t>
      </w:r>
      <w:r>
        <w:rPr>
          <w:rFonts w:hint="eastAsia" w:ascii="宋体" w:hAnsi="宋体"/>
          <w:u w:val="single"/>
        </w:rPr>
        <w:t>3300</w:t>
      </w:r>
      <w:r>
        <w:rPr>
          <w:rFonts w:hint="eastAsia" w:ascii="宋体" w:hAnsi="宋体"/>
        </w:rPr>
        <w:t>(mm)×高</w:t>
      </w:r>
      <w:r>
        <w:rPr>
          <w:rFonts w:hint="eastAsia" w:ascii="宋体" w:hAnsi="宋体"/>
          <w:u w:val="single"/>
        </w:rPr>
        <w:t>2800</w:t>
      </w:r>
      <w:r>
        <w:rPr>
          <w:rFonts w:hint="eastAsia" w:ascii="宋体" w:hAnsi="宋体"/>
        </w:rPr>
        <w:t>（mm）</w:t>
      </w:r>
    </w:p>
    <w:p>
      <w:pPr>
        <w:ind w:left="120" w:firstLine="304" w:firstLineChars="127"/>
        <w:rPr>
          <w:rFonts w:ascii="宋体" w:hAnsi="宋体"/>
        </w:rPr>
      </w:pPr>
      <w:r>
        <w:rPr>
          <w:rFonts w:hint="eastAsia" w:ascii="宋体" w:hAnsi="宋体"/>
        </w:rPr>
        <w:t xml:space="preserve">11、开门形式：中分门 </w:t>
      </w:r>
    </w:p>
    <w:p>
      <w:pPr>
        <w:ind w:firstLine="426"/>
        <w:rPr>
          <w:rFonts w:ascii="宋体" w:hAnsi="宋体"/>
        </w:rPr>
      </w:pPr>
      <w:r>
        <w:rPr>
          <w:rFonts w:hint="eastAsia" w:ascii="宋体" w:hAnsi="宋体"/>
        </w:rPr>
        <w:t>12、开门宽度：</w:t>
      </w:r>
      <w:r>
        <w:rPr>
          <w:rFonts w:hint="eastAsia" w:ascii="宋体" w:hAnsi="宋体"/>
          <w:u w:val="single"/>
        </w:rPr>
        <w:t>2200</w:t>
      </w:r>
      <w:r>
        <w:rPr>
          <w:rFonts w:hint="eastAsia" w:ascii="宋体" w:hAnsi="宋体"/>
        </w:rPr>
        <w:t>（mm），门口高度：</w:t>
      </w:r>
      <w:r>
        <w:rPr>
          <w:rFonts w:hint="eastAsia" w:ascii="宋体" w:hAnsi="宋体"/>
          <w:u w:val="single"/>
        </w:rPr>
        <w:t>2700</w:t>
      </w:r>
      <w:r>
        <w:rPr>
          <w:rFonts w:hint="eastAsia" w:ascii="宋体" w:hAnsi="宋体"/>
        </w:rPr>
        <w:t>（mm）</w:t>
      </w:r>
    </w:p>
    <w:p>
      <w:pPr>
        <w:ind w:firstLine="426"/>
        <w:rPr>
          <w:rFonts w:ascii="宋体" w:hAnsi="宋体"/>
        </w:rPr>
      </w:pPr>
      <w:r>
        <w:rPr>
          <w:rFonts w:hint="eastAsia" w:ascii="宋体" w:hAnsi="宋体"/>
        </w:rPr>
        <w:t>13、轿内操纵箱：（一体式 ）型、外呼召唤箱：（ 液晶显示  ）型</w:t>
      </w:r>
    </w:p>
    <w:p>
      <w:pPr>
        <w:ind w:firstLine="424" w:firstLineChars="177"/>
        <w:rPr>
          <w:rFonts w:ascii="宋体" w:hAnsi="宋体"/>
        </w:rPr>
      </w:pPr>
      <w:r>
        <w:rPr>
          <w:rFonts w:hint="eastAsia" w:ascii="宋体" w:hAnsi="宋体"/>
        </w:rPr>
        <w:t>14、轿厢装饰：钢板喷漆</w:t>
      </w:r>
    </w:p>
    <w:p>
      <w:pPr>
        <w:ind w:firstLine="424" w:firstLineChars="177"/>
        <w:rPr>
          <w:rFonts w:ascii="宋体" w:hAnsi="宋体"/>
        </w:rPr>
      </w:pPr>
      <w:r>
        <w:rPr>
          <w:rFonts w:hint="eastAsia" w:ascii="宋体" w:hAnsi="宋体"/>
        </w:rPr>
        <w:t>15、轿顶照明：钢板喷漆加LED灯</w:t>
      </w:r>
    </w:p>
    <w:p>
      <w:pPr>
        <w:ind w:firstLine="426"/>
        <w:rPr>
          <w:rFonts w:ascii="宋体" w:hAnsi="宋体"/>
        </w:rPr>
      </w:pPr>
      <w:r>
        <w:rPr>
          <w:rFonts w:hint="eastAsia" w:ascii="宋体" w:hAnsi="宋体"/>
        </w:rPr>
        <w:t>16、轿厢地板：6.0mm防滑花纹钢板</w:t>
      </w:r>
    </w:p>
    <w:p>
      <w:pPr>
        <w:ind w:firstLine="426"/>
        <w:rPr>
          <w:rFonts w:ascii="宋体" w:hAnsi="宋体"/>
        </w:rPr>
      </w:pPr>
      <w:r>
        <w:rPr>
          <w:rFonts w:hint="eastAsia" w:ascii="宋体" w:hAnsi="宋体"/>
        </w:rPr>
        <w:t>17、首层厅门及轿门装饰：钢板喷漆</w:t>
      </w:r>
    </w:p>
    <w:p>
      <w:pPr>
        <w:ind w:firstLine="424" w:firstLineChars="177"/>
        <w:rPr>
          <w:rFonts w:ascii="宋体" w:hAnsi="宋体"/>
        </w:rPr>
      </w:pPr>
      <w:r>
        <w:rPr>
          <w:rFonts w:hint="eastAsia" w:ascii="宋体" w:hAnsi="宋体"/>
        </w:rPr>
        <w:t>18、其余厅门装饰：1.5mm钢板喷漆</w:t>
      </w:r>
    </w:p>
    <w:p>
      <w:pPr>
        <w:ind w:firstLine="424" w:firstLineChars="177"/>
        <w:rPr>
          <w:rFonts w:ascii="宋体" w:hAnsi="宋体"/>
        </w:rPr>
      </w:pPr>
      <w:r>
        <w:rPr>
          <w:rFonts w:hint="eastAsia" w:ascii="宋体" w:hAnsi="宋体"/>
        </w:rPr>
        <w:t>19、首层小门框：1.5mm钢板喷漆</w:t>
      </w:r>
    </w:p>
    <w:p>
      <w:pPr>
        <w:ind w:firstLine="424" w:firstLineChars="177"/>
        <w:rPr>
          <w:rFonts w:ascii="宋体" w:hAnsi="宋体"/>
        </w:rPr>
      </w:pPr>
      <w:r>
        <w:rPr>
          <w:rFonts w:hint="eastAsia" w:ascii="宋体" w:hAnsi="宋体"/>
        </w:rPr>
        <w:t>20、其余小门框：1.5mm钢板喷漆</w:t>
      </w:r>
    </w:p>
    <w:p>
      <w:pPr>
        <w:ind w:firstLine="480"/>
        <w:rPr>
          <w:rFonts w:ascii="宋体" w:hAnsi="宋体"/>
        </w:rPr>
      </w:pPr>
      <w:r>
        <w:rPr>
          <w:rFonts w:hint="eastAsia" w:ascii="宋体" w:hAnsi="宋体"/>
        </w:rPr>
        <w:t>21、厅门指示器：数字显示式（  √  ）、方向显示（</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w:t>
      </w:r>
    </w:p>
    <w:p>
      <w:pPr>
        <w:ind w:firstLine="480"/>
        <w:rPr>
          <w:rFonts w:ascii="宋体" w:hAnsi="宋体"/>
        </w:rPr>
      </w:pPr>
      <w:r>
        <w:rPr>
          <w:rFonts w:hint="eastAsia" w:ascii="宋体" w:hAnsi="宋体"/>
        </w:rPr>
        <w:t xml:space="preserve">22、轿内指示器：数字显示式（  </w:t>
      </w:r>
      <w:r>
        <w:rPr>
          <w:rFonts w:hint="eastAsia" w:ascii="宋体" w:hAnsi="宋体"/>
          <w:b/>
        </w:rPr>
        <w:t xml:space="preserve"> </w:t>
      </w:r>
      <w:r>
        <w:rPr>
          <w:rFonts w:hint="eastAsia" w:ascii="宋体" w:hAnsi="宋体"/>
        </w:rPr>
        <w:t>√</w:t>
      </w:r>
      <w:r>
        <w:rPr>
          <w:rFonts w:hint="eastAsia" w:ascii="宋体" w:hAnsi="宋体"/>
          <w:b/>
        </w:rPr>
        <w:t xml:space="preserve"> </w:t>
      </w:r>
      <w:r>
        <w:rPr>
          <w:rFonts w:hint="eastAsia" w:ascii="宋体" w:hAnsi="宋体"/>
        </w:rPr>
        <w:t>）、方向显示（   √  ）</w:t>
      </w:r>
    </w:p>
    <w:p>
      <w:pPr>
        <w:ind w:firstLine="480"/>
        <w:rPr>
          <w:rFonts w:ascii="宋体" w:hAnsi="宋体"/>
          <w:u w:val="single"/>
        </w:rPr>
      </w:pPr>
      <w:r>
        <w:rPr>
          <w:rFonts w:hint="eastAsia" w:ascii="宋体" w:hAnsi="宋体"/>
        </w:rPr>
        <w:t xml:space="preserve">23、通讯方式：对讲机（  √ </w:t>
      </w:r>
      <w:r>
        <w:rPr>
          <w:rFonts w:hint="eastAsia" w:ascii="宋体" w:hAnsi="宋体"/>
          <w:b/>
        </w:rPr>
        <w:t xml:space="preserve"> </w:t>
      </w:r>
      <w:r>
        <w:rPr>
          <w:rFonts w:hint="eastAsia" w:ascii="宋体" w:hAnsi="宋体"/>
        </w:rPr>
        <w:t>）、警铃（</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）、其它</w:t>
      </w:r>
      <w:r>
        <w:rPr>
          <w:rFonts w:hint="eastAsia" w:ascii="宋体" w:hAnsi="宋体"/>
          <w:u w:val="single"/>
        </w:rPr>
        <w:t xml:space="preserve">   五方通话     </w:t>
      </w:r>
    </w:p>
    <w:p>
      <w:pPr>
        <w:rPr>
          <w:rFonts w:ascii="宋体" w:hAnsi="宋体"/>
        </w:rPr>
      </w:pPr>
      <w:r>
        <w:rPr>
          <w:rFonts w:hint="eastAsia" w:ascii="宋体" w:hAnsi="宋体"/>
        </w:rPr>
        <w:t>二、交货期：</w:t>
      </w:r>
      <w:r>
        <w:rPr>
          <w:rFonts w:hint="eastAsia" w:ascii="宋体" w:hAnsi="宋体"/>
          <w:u w:val="single"/>
        </w:rPr>
        <w:t xml:space="preserve">        </w:t>
      </w:r>
      <w:r>
        <w:rPr>
          <w:rFonts w:hint="eastAsia" w:ascii="宋体" w:hAnsi="宋体"/>
        </w:rPr>
        <w:t>年</w:t>
      </w:r>
      <w:r>
        <w:rPr>
          <w:rFonts w:hint="eastAsia" w:ascii="宋体" w:hAnsi="宋体"/>
          <w:u w:val="single"/>
        </w:rPr>
        <w:t xml:space="preserve">      </w:t>
      </w:r>
      <w:r>
        <w:rPr>
          <w:rFonts w:hint="eastAsia" w:ascii="宋体" w:hAnsi="宋体"/>
        </w:rPr>
        <w:t>月</w:t>
      </w:r>
      <w:r>
        <w:rPr>
          <w:rFonts w:hint="eastAsia" w:ascii="宋体" w:hAnsi="宋体"/>
          <w:u w:val="single"/>
        </w:rPr>
        <w:t xml:space="preserve">      </w:t>
      </w:r>
      <w:r>
        <w:rPr>
          <w:rFonts w:hint="eastAsia" w:ascii="宋体" w:hAnsi="宋体"/>
        </w:rPr>
        <w:t>日</w:t>
      </w:r>
    </w:p>
    <w:p>
      <w:pPr>
        <w:rPr>
          <w:rFonts w:ascii="宋体" w:hAnsi="宋体"/>
        </w:rPr>
      </w:pPr>
      <w:r>
        <w:rPr>
          <w:rFonts w:hint="eastAsia" w:ascii="宋体" w:hAnsi="宋体"/>
        </w:rPr>
        <w:t>三、要求：</w:t>
      </w:r>
    </w:p>
    <w:p>
      <w:pPr>
        <w:ind w:left="360"/>
        <w:rPr>
          <w:rFonts w:ascii="宋体" w:hAnsi="宋体"/>
        </w:rPr>
      </w:pPr>
      <w:r>
        <w:rPr>
          <w:rFonts w:hint="eastAsia" w:ascii="宋体" w:hAnsi="宋体"/>
        </w:rPr>
        <w:t>（1）是否含包装：■是   □否； （2）包装方式：■木箱包装   □简易包装</w:t>
      </w:r>
    </w:p>
    <w:p>
      <w:pPr>
        <w:ind w:left="360"/>
        <w:rPr>
          <w:rFonts w:ascii="宋体" w:hAnsi="宋体"/>
        </w:rPr>
      </w:pPr>
      <w:r>
        <w:rPr>
          <w:rFonts w:hint="eastAsia" w:ascii="宋体" w:hAnsi="宋体"/>
        </w:rPr>
        <w:t xml:space="preserve">（3）是否含运输：■是   </w:t>
      </w:r>
      <w:r>
        <w:rPr>
          <w:rFonts w:hint="eastAsia" w:ascii="宋体" w:hAnsi="宋体"/>
        </w:rPr>
        <w:sym w:font="Wingdings 2" w:char="00A3"/>
      </w:r>
      <w:r>
        <w:rPr>
          <w:rFonts w:hint="eastAsia" w:ascii="宋体" w:hAnsi="宋体"/>
        </w:rPr>
        <w:t xml:space="preserve"> 否； （4）是否含安装：■是  </w:t>
      </w:r>
      <w:r>
        <w:rPr>
          <w:rFonts w:hint="eastAsia" w:ascii="宋体" w:hAnsi="宋体"/>
        </w:rPr>
        <w:sym w:font="Wingdings 2" w:char="00A3"/>
      </w:r>
      <w:r>
        <w:rPr>
          <w:rFonts w:hint="eastAsia" w:ascii="宋体" w:hAnsi="宋体"/>
        </w:rPr>
        <w:t xml:space="preserve"> 否</w:t>
      </w:r>
    </w:p>
    <w:p>
      <w:pPr>
        <w:rPr>
          <w:rFonts w:ascii="宋体" w:hAnsi="宋体"/>
        </w:rPr>
      </w:pPr>
      <w:r>
        <w:rPr>
          <w:rFonts w:hint="eastAsia" w:ascii="宋体" w:hAnsi="宋体"/>
        </w:rPr>
        <w:t>四、其它要求：</w:t>
      </w:r>
    </w:p>
    <w:p>
      <w:pPr>
        <w:pStyle w:val="3"/>
      </w:pPr>
      <w:bookmarkStart w:id="10" w:name="_Toc120891604"/>
      <w:r>
        <w:rPr>
          <w:rFonts w:hint="eastAsia"/>
          <w:szCs w:val="21"/>
        </w:rPr>
        <w:t>产品技术参数及要求</w:t>
      </w:r>
      <w:bookmarkEnd w:id="10"/>
      <w:r>
        <w:rPr>
          <w:rFonts w:hint="eastAsia"/>
        </w:rPr>
        <w:t xml:space="preserve"> </w:t>
      </w:r>
    </w:p>
    <w:p>
      <w:pPr>
        <w:numPr>
          <w:ilvl w:val="0"/>
          <w:numId w:val="5"/>
        </w:numPr>
        <w:rPr>
          <w:rFonts w:ascii="宋体" w:hAnsi="宋体"/>
        </w:rPr>
      </w:pPr>
      <w:r>
        <w:rPr>
          <w:rFonts w:hint="eastAsia" w:ascii="宋体" w:hAnsi="宋体"/>
        </w:rPr>
        <w:t>产品技术参数：</w:t>
      </w:r>
    </w:p>
    <w:p>
      <w:pPr>
        <w:numPr>
          <w:ilvl w:val="0"/>
          <w:numId w:val="8"/>
        </w:numPr>
        <w:ind w:left="840" w:hanging="360"/>
        <w:rPr>
          <w:rFonts w:ascii="宋体" w:hAnsi="宋体"/>
          <w:u w:val="single"/>
        </w:rPr>
      </w:pPr>
      <w:r>
        <w:rPr>
          <w:rFonts w:hint="eastAsia" w:ascii="宋体" w:hAnsi="宋体"/>
        </w:rPr>
        <w:t>型    号：</w:t>
      </w:r>
      <w:r>
        <w:rPr>
          <w:rFonts w:hint="eastAsia" w:ascii="宋体" w:hAnsi="宋体"/>
          <w:u w:val="single"/>
        </w:rPr>
        <w:t>THJ2000/1.0-JXW</w:t>
      </w:r>
    </w:p>
    <w:p>
      <w:pPr>
        <w:ind w:firstLine="480" w:firstLineChars="200"/>
        <w:rPr>
          <w:rFonts w:ascii="宋体" w:hAnsi="宋体"/>
        </w:rPr>
      </w:pPr>
      <w:r>
        <w:rPr>
          <w:rFonts w:hint="eastAsia" w:ascii="宋体" w:hAnsi="宋体"/>
        </w:rPr>
        <w:t>2、载 重 量</w:t>
      </w:r>
      <w:r>
        <w:rPr>
          <w:rFonts w:hint="eastAsia" w:ascii="宋体" w:hAnsi="宋体"/>
          <w:u w:val="single"/>
        </w:rPr>
        <w:t xml:space="preserve"> 10000 </w:t>
      </w:r>
      <w:r>
        <w:rPr>
          <w:rFonts w:hint="eastAsia" w:ascii="宋体" w:hAnsi="宋体"/>
        </w:rPr>
        <w:t>kg；速度：</w:t>
      </w:r>
      <w:r>
        <w:rPr>
          <w:rFonts w:hint="eastAsia" w:ascii="宋体" w:hAnsi="宋体"/>
          <w:u w:val="single"/>
        </w:rPr>
        <w:t xml:space="preserve"> 1.0 </w:t>
      </w:r>
      <w:r>
        <w:rPr>
          <w:rFonts w:hint="eastAsia" w:ascii="宋体" w:hAnsi="宋体"/>
        </w:rPr>
        <w:t>m/s ； 数量：</w:t>
      </w:r>
      <w:r>
        <w:rPr>
          <w:rFonts w:hint="eastAsia" w:ascii="宋体" w:hAnsi="宋体"/>
          <w:u w:val="single"/>
        </w:rPr>
        <w:t xml:space="preserve"> 1 </w:t>
      </w:r>
      <w:r>
        <w:rPr>
          <w:rFonts w:hint="eastAsia" w:ascii="宋体" w:hAnsi="宋体"/>
        </w:rPr>
        <w:t>台</w:t>
      </w:r>
    </w:p>
    <w:p>
      <w:pPr>
        <w:ind w:firstLine="480" w:firstLineChars="200"/>
        <w:rPr>
          <w:rFonts w:ascii="宋体" w:hAnsi="宋体"/>
        </w:rPr>
      </w:pPr>
      <w:r>
        <w:rPr>
          <w:rFonts w:hint="eastAsia" w:ascii="宋体" w:hAnsi="宋体"/>
        </w:rPr>
        <w:t>3、层    站：</w:t>
      </w:r>
      <w:r>
        <w:rPr>
          <w:rFonts w:hint="eastAsia" w:ascii="宋体" w:hAnsi="宋体"/>
          <w:u w:val="single"/>
        </w:rPr>
        <w:t>7</w:t>
      </w:r>
      <w:r>
        <w:rPr>
          <w:rFonts w:hint="eastAsia" w:ascii="宋体" w:hAnsi="宋体"/>
        </w:rPr>
        <w:t>层</w:t>
      </w:r>
      <w:r>
        <w:rPr>
          <w:rFonts w:hint="eastAsia" w:ascii="宋体" w:hAnsi="宋体"/>
          <w:u w:val="single"/>
        </w:rPr>
        <w:t xml:space="preserve"> 7 </w:t>
      </w:r>
      <w:r>
        <w:rPr>
          <w:rFonts w:hint="eastAsia" w:ascii="宋体" w:hAnsi="宋体"/>
        </w:rPr>
        <w:t>站</w:t>
      </w:r>
      <w:r>
        <w:rPr>
          <w:rFonts w:hint="eastAsia" w:ascii="宋体" w:hAnsi="宋体"/>
          <w:u w:val="single"/>
        </w:rPr>
        <w:t xml:space="preserve"> 7 </w:t>
      </w:r>
      <w:r>
        <w:rPr>
          <w:rFonts w:hint="eastAsia" w:ascii="宋体" w:hAnsi="宋体"/>
        </w:rPr>
        <w:t xml:space="preserve">门 </w:t>
      </w:r>
    </w:p>
    <w:p>
      <w:pPr>
        <w:ind w:firstLine="480" w:firstLineChars="200"/>
        <w:rPr>
          <w:rFonts w:ascii="宋体" w:hAnsi="宋体"/>
          <w:u w:val="single"/>
        </w:rPr>
      </w:pPr>
      <w:r>
        <w:rPr>
          <w:rFonts w:hint="eastAsia" w:ascii="宋体" w:hAnsi="宋体"/>
        </w:rPr>
        <w:t>4、控制形式：单台集选、</w:t>
      </w:r>
      <w:r>
        <w:rPr>
          <w:rFonts w:hint="eastAsia" w:ascii="宋体" w:hAnsi="宋体"/>
          <w:u w:val="single"/>
        </w:rPr>
        <w:t xml:space="preserve">             </w:t>
      </w:r>
      <w:r>
        <w:rPr>
          <w:rFonts w:hint="eastAsia" w:ascii="宋体" w:hAnsi="宋体"/>
        </w:rPr>
        <w:t xml:space="preserve"> (       )</w:t>
      </w:r>
    </w:p>
    <w:p>
      <w:pPr>
        <w:ind w:left="360" w:firstLine="64" w:firstLineChars="27"/>
        <w:rPr>
          <w:rFonts w:ascii="宋体" w:hAnsi="宋体"/>
          <w:u w:val="single"/>
        </w:rPr>
      </w:pPr>
      <w:r>
        <w:rPr>
          <w:rFonts w:hint="eastAsia" w:ascii="宋体" w:hAnsi="宋体"/>
        </w:rPr>
        <w:t>5、井道尺寸：宽</w:t>
      </w:r>
      <w:r>
        <w:rPr>
          <w:rFonts w:hint="eastAsia" w:ascii="宋体" w:hAnsi="宋体"/>
          <w:u w:val="single"/>
        </w:rPr>
        <w:t xml:space="preserve">  3450 </w:t>
      </w:r>
      <w:r>
        <w:rPr>
          <w:rFonts w:hint="eastAsia" w:ascii="宋体" w:hAnsi="宋体"/>
        </w:rPr>
        <w:t>（mm）×深</w:t>
      </w:r>
      <w:r>
        <w:rPr>
          <w:rFonts w:hint="eastAsia" w:ascii="宋体" w:hAnsi="宋体"/>
          <w:u w:val="single"/>
        </w:rPr>
        <w:t xml:space="preserve">3300  </w:t>
      </w:r>
      <w:r>
        <w:rPr>
          <w:rFonts w:hint="eastAsia" w:ascii="宋体" w:hAnsi="宋体"/>
        </w:rPr>
        <w:t>（mm）(净尺寸)</w:t>
      </w:r>
    </w:p>
    <w:p>
      <w:pPr>
        <w:ind w:left="120" w:firstLine="304" w:firstLineChars="127"/>
        <w:rPr>
          <w:rFonts w:ascii="宋体" w:hAnsi="宋体"/>
          <w:u w:val="single"/>
        </w:rPr>
      </w:pPr>
      <w:r>
        <w:rPr>
          <w:rFonts w:hint="eastAsia" w:ascii="宋体" w:hAnsi="宋体"/>
        </w:rPr>
        <w:t>6、井道总高：</w:t>
      </w:r>
      <w:r>
        <w:rPr>
          <w:rFonts w:hint="eastAsia" w:ascii="宋体" w:hAnsi="宋体"/>
          <w:u w:val="single"/>
        </w:rPr>
        <w:t xml:space="preserve"> 按实际测量为准 </w:t>
      </w:r>
      <w:r>
        <w:rPr>
          <w:rFonts w:hint="eastAsia" w:ascii="宋体" w:hAnsi="宋体"/>
        </w:rPr>
        <w:t>（mm）；井道材料：□砖墙、□水泥墙  □其它</w:t>
      </w:r>
      <w:r>
        <w:rPr>
          <w:rFonts w:hint="eastAsia" w:ascii="宋体" w:hAnsi="宋体"/>
          <w:u w:val="single"/>
        </w:rPr>
        <w:t xml:space="preserve">        </w:t>
      </w:r>
    </w:p>
    <w:p>
      <w:pPr>
        <w:ind w:left="120" w:firstLine="304" w:firstLineChars="127"/>
        <w:rPr>
          <w:rFonts w:ascii="宋体" w:hAnsi="宋体"/>
        </w:rPr>
      </w:pPr>
      <w:r>
        <w:rPr>
          <w:rFonts w:hint="eastAsia" w:ascii="宋体" w:hAnsi="宋体"/>
        </w:rPr>
        <w:t>7、机房尺寸：</w:t>
      </w:r>
      <w:r>
        <w:rPr>
          <w:rFonts w:hint="eastAsia" w:ascii="宋体" w:hAnsi="宋体"/>
          <w:u w:val="single"/>
        </w:rPr>
        <w:t>3450</w:t>
      </w:r>
      <w:r>
        <w:rPr>
          <w:rFonts w:hint="eastAsia" w:ascii="宋体" w:hAnsi="宋体"/>
        </w:rPr>
        <w:t>(mm)×深</w:t>
      </w:r>
      <w:r>
        <w:rPr>
          <w:rFonts w:hint="eastAsia" w:ascii="宋体" w:hAnsi="宋体"/>
          <w:u w:val="single"/>
        </w:rPr>
        <w:t xml:space="preserve">3350 </w:t>
      </w:r>
      <w:r>
        <w:rPr>
          <w:rFonts w:hint="eastAsia" w:ascii="宋体" w:hAnsi="宋体"/>
        </w:rPr>
        <w:t>（mm）×高</w:t>
      </w:r>
      <w:r>
        <w:rPr>
          <w:rFonts w:hint="eastAsia" w:ascii="宋体" w:hAnsi="宋体"/>
          <w:u w:val="single"/>
        </w:rPr>
        <w:t xml:space="preserve"> 2500</w:t>
      </w:r>
      <w:r>
        <w:rPr>
          <w:rFonts w:hint="eastAsia" w:ascii="宋体" w:hAnsi="宋体"/>
        </w:rPr>
        <w:t>（mm）</w:t>
      </w:r>
    </w:p>
    <w:p>
      <w:pPr>
        <w:ind w:left="120" w:firstLine="304" w:firstLineChars="127"/>
        <w:rPr>
          <w:rFonts w:ascii="宋体" w:hAnsi="宋体"/>
          <w:u w:val="single"/>
        </w:rPr>
      </w:pPr>
      <w:r>
        <w:rPr>
          <w:rFonts w:hint="eastAsia" w:ascii="宋体" w:hAnsi="宋体"/>
        </w:rPr>
        <w:t>8、电梯停靠层站：</w:t>
      </w:r>
      <w:r>
        <w:rPr>
          <w:rFonts w:hint="eastAsia" w:ascii="宋体" w:hAnsi="宋体"/>
          <w:u w:val="single"/>
        </w:rPr>
        <w:t xml:space="preserve"> 1-4</w:t>
      </w:r>
    </w:p>
    <w:p>
      <w:pPr>
        <w:ind w:left="1094" w:leftChars="177" w:hanging="669" w:hangingChars="279"/>
        <w:rPr>
          <w:rFonts w:ascii="宋体" w:hAnsi="宋体"/>
        </w:rPr>
      </w:pPr>
      <w:r>
        <w:rPr>
          <w:rFonts w:hint="eastAsia" w:ascii="宋体" w:hAnsi="宋体"/>
        </w:rPr>
        <w:t>9、顶层高度：</w:t>
      </w:r>
      <w:r>
        <w:rPr>
          <w:rFonts w:hint="eastAsia" w:ascii="宋体" w:hAnsi="宋体"/>
          <w:u w:val="single"/>
        </w:rPr>
        <w:t xml:space="preserve"> 6180 </w:t>
      </w:r>
      <w:r>
        <w:rPr>
          <w:rFonts w:hint="eastAsia" w:ascii="宋体" w:hAnsi="宋体"/>
        </w:rPr>
        <w:t>（mm）；底坑深度</w:t>
      </w:r>
      <w:r>
        <w:rPr>
          <w:rFonts w:hint="eastAsia" w:ascii="宋体" w:hAnsi="宋体"/>
          <w:u w:val="single"/>
        </w:rPr>
        <w:t xml:space="preserve">1800 </w:t>
      </w:r>
      <w:r>
        <w:rPr>
          <w:rFonts w:hint="eastAsia" w:ascii="宋体" w:hAnsi="宋体"/>
        </w:rPr>
        <w:t>（mm）；提升高度按</w:t>
      </w:r>
      <w:r>
        <w:rPr>
          <w:rFonts w:hint="eastAsia" w:ascii="宋体" w:hAnsi="宋体"/>
          <w:u w:val="single"/>
        </w:rPr>
        <w:t xml:space="preserve">实际测量为准  </w:t>
      </w:r>
      <w:r>
        <w:rPr>
          <w:rFonts w:hint="eastAsia" w:ascii="宋体" w:hAnsi="宋体"/>
        </w:rPr>
        <w:t>（mm）</w:t>
      </w:r>
    </w:p>
    <w:p>
      <w:pPr>
        <w:ind w:left="120" w:firstLine="240" w:firstLineChars="100"/>
        <w:rPr>
          <w:rFonts w:ascii="宋体" w:hAnsi="宋体"/>
        </w:rPr>
      </w:pPr>
      <w:r>
        <w:rPr>
          <w:rFonts w:hint="eastAsia" w:ascii="宋体" w:hAnsi="宋体"/>
        </w:rPr>
        <w:t>10、轿厢尺寸：外尺寸宽：</w:t>
      </w:r>
      <w:r>
        <w:rPr>
          <w:rFonts w:hint="eastAsia" w:ascii="宋体" w:hAnsi="宋体"/>
          <w:u w:val="single"/>
        </w:rPr>
        <w:t xml:space="preserve">     </w:t>
      </w:r>
      <w:r>
        <w:rPr>
          <w:rFonts w:hint="eastAsia" w:ascii="宋体" w:hAnsi="宋体"/>
        </w:rPr>
        <w:t>（mm）深×</w:t>
      </w:r>
      <w:r>
        <w:rPr>
          <w:rFonts w:hint="eastAsia" w:ascii="宋体" w:hAnsi="宋体"/>
          <w:u w:val="single"/>
        </w:rPr>
        <w:t xml:space="preserve">     </w:t>
      </w:r>
      <w:r>
        <w:rPr>
          <w:rFonts w:hint="eastAsia" w:ascii="宋体" w:hAnsi="宋体"/>
        </w:rPr>
        <w:t>(mm)</w:t>
      </w:r>
    </w:p>
    <w:p>
      <w:pPr>
        <w:ind w:left="120" w:firstLine="1920" w:firstLineChars="800"/>
        <w:rPr>
          <w:rFonts w:ascii="宋体" w:hAnsi="宋体"/>
        </w:rPr>
      </w:pPr>
      <w:r>
        <w:rPr>
          <w:rFonts w:hint="eastAsia" w:ascii="宋体" w:hAnsi="宋体"/>
        </w:rPr>
        <w:t>内尺寸宽：</w:t>
      </w:r>
      <w:r>
        <w:rPr>
          <w:rFonts w:hint="eastAsia" w:ascii="宋体" w:hAnsi="宋体"/>
          <w:u w:val="single"/>
        </w:rPr>
        <w:t>1900</w:t>
      </w:r>
      <w:r>
        <w:rPr>
          <w:rFonts w:hint="eastAsia" w:ascii="宋体" w:hAnsi="宋体"/>
        </w:rPr>
        <w:t>（mm）深×</w:t>
      </w:r>
      <w:r>
        <w:rPr>
          <w:rFonts w:hint="eastAsia" w:ascii="宋体" w:hAnsi="宋体"/>
          <w:u w:val="single"/>
        </w:rPr>
        <w:t>2100</w:t>
      </w:r>
      <w:r>
        <w:rPr>
          <w:rFonts w:hint="eastAsia" w:ascii="宋体" w:hAnsi="宋体"/>
        </w:rPr>
        <w:t>(mm)×高</w:t>
      </w:r>
      <w:r>
        <w:rPr>
          <w:rFonts w:hint="eastAsia" w:ascii="宋体" w:hAnsi="宋体"/>
          <w:u w:val="single"/>
        </w:rPr>
        <w:t>2500</w:t>
      </w:r>
      <w:r>
        <w:rPr>
          <w:rFonts w:hint="eastAsia" w:ascii="宋体" w:hAnsi="宋体"/>
        </w:rPr>
        <w:t>（mm）</w:t>
      </w:r>
    </w:p>
    <w:p>
      <w:pPr>
        <w:ind w:left="120" w:firstLine="304" w:firstLineChars="127"/>
        <w:rPr>
          <w:rFonts w:ascii="宋体" w:hAnsi="宋体"/>
        </w:rPr>
      </w:pPr>
      <w:r>
        <w:rPr>
          <w:rFonts w:hint="eastAsia" w:ascii="宋体" w:hAnsi="宋体"/>
        </w:rPr>
        <w:t xml:space="preserve">11、开门形式：中分门 </w:t>
      </w:r>
    </w:p>
    <w:p>
      <w:pPr>
        <w:ind w:firstLine="424" w:firstLineChars="177"/>
        <w:rPr>
          <w:rFonts w:ascii="宋体" w:hAnsi="宋体"/>
        </w:rPr>
      </w:pPr>
      <w:r>
        <w:rPr>
          <w:rFonts w:hint="eastAsia" w:ascii="宋体" w:hAnsi="宋体"/>
        </w:rPr>
        <w:t>12、开门宽度：</w:t>
      </w:r>
      <w:r>
        <w:rPr>
          <w:rFonts w:hint="eastAsia" w:ascii="宋体" w:hAnsi="宋体"/>
          <w:u w:val="single"/>
        </w:rPr>
        <w:t>1600</w:t>
      </w:r>
      <w:r>
        <w:rPr>
          <w:rFonts w:hint="eastAsia" w:ascii="宋体" w:hAnsi="宋体"/>
        </w:rPr>
        <w:t>（mm），门口高度：</w:t>
      </w:r>
      <w:r>
        <w:rPr>
          <w:rFonts w:hint="eastAsia" w:ascii="宋体" w:hAnsi="宋体"/>
          <w:u w:val="single"/>
        </w:rPr>
        <w:t>2500</w:t>
      </w:r>
      <w:r>
        <w:rPr>
          <w:rFonts w:hint="eastAsia" w:ascii="宋体" w:hAnsi="宋体"/>
        </w:rPr>
        <w:t>（mm）</w:t>
      </w:r>
    </w:p>
    <w:p>
      <w:pPr>
        <w:ind w:firstLine="426"/>
        <w:rPr>
          <w:rFonts w:ascii="宋体" w:hAnsi="宋体"/>
        </w:rPr>
      </w:pPr>
      <w:r>
        <w:rPr>
          <w:rFonts w:hint="eastAsia" w:ascii="宋体" w:hAnsi="宋体"/>
        </w:rPr>
        <w:t>13、轿内操纵箱：（一体式 ）型、外呼召唤箱：（ 液晶显示  ）型</w:t>
      </w:r>
    </w:p>
    <w:p>
      <w:pPr>
        <w:ind w:firstLine="424" w:firstLineChars="177"/>
        <w:rPr>
          <w:rFonts w:ascii="宋体" w:hAnsi="宋体"/>
        </w:rPr>
      </w:pPr>
      <w:r>
        <w:rPr>
          <w:rFonts w:hint="eastAsia" w:ascii="宋体" w:hAnsi="宋体"/>
        </w:rPr>
        <w:t>14、轿厢装饰：钢板喷漆</w:t>
      </w:r>
    </w:p>
    <w:p>
      <w:pPr>
        <w:ind w:firstLine="424" w:firstLineChars="177"/>
        <w:rPr>
          <w:rFonts w:ascii="宋体" w:hAnsi="宋体"/>
        </w:rPr>
      </w:pPr>
      <w:r>
        <w:rPr>
          <w:rFonts w:hint="eastAsia" w:ascii="宋体" w:hAnsi="宋体"/>
        </w:rPr>
        <w:t>15、轿顶照明：钢板喷漆加LED灯</w:t>
      </w:r>
    </w:p>
    <w:p>
      <w:pPr>
        <w:ind w:firstLine="426"/>
        <w:rPr>
          <w:rFonts w:ascii="宋体" w:hAnsi="宋体"/>
        </w:rPr>
      </w:pPr>
      <w:r>
        <w:rPr>
          <w:rFonts w:hint="eastAsia" w:ascii="宋体" w:hAnsi="宋体"/>
        </w:rPr>
        <w:t>16、轿厢地板：6.0mm防滑花纹钢板</w:t>
      </w:r>
    </w:p>
    <w:p>
      <w:pPr>
        <w:ind w:firstLine="426"/>
        <w:rPr>
          <w:rFonts w:ascii="宋体" w:hAnsi="宋体"/>
        </w:rPr>
      </w:pPr>
      <w:r>
        <w:rPr>
          <w:rFonts w:hint="eastAsia" w:ascii="宋体" w:hAnsi="宋体"/>
        </w:rPr>
        <w:t>17、首层厅门及轿门装饰：钢板喷漆</w:t>
      </w:r>
    </w:p>
    <w:p>
      <w:pPr>
        <w:ind w:firstLine="424" w:firstLineChars="177"/>
        <w:rPr>
          <w:rFonts w:ascii="宋体" w:hAnsi="宋体"/>
        </w:rPr>
      </w:pPr>
      <w:r>
        <w:rPr>
          <w:rFonts w:hint="eastAsia" w:ascii="宋体" w:hAnsi="宋体"/>
        </w:rPr>
        <w:t>18、其余厅门装饰：1.5mm钢板喷漆</w:t>
      </w:r>
    </w:p>
    <w:p>
      <w:pPr>
        <w:ind w:firstLine="480" w:firstLineChars="200"/>
        <w:rPr>
          <w:rFonts w:ascii="宋体" w:hAnsi="宋体"/>
        </w:rPr>
      </w:pPr>
      <w:r>
        <w:rPr>
          <w:rFonts w:hint="eastAsia" w:ascii="宋体" w:hAnsi="宋体"/>
        </w:rPr>
        <w:t>19、首层小门框：1.5mm钢板喷漆</w:t>
      </w:r>
    </w:p>
    <w:p>
      <w:pPr>
        <w:ind w:firstLine="480" w:firstLineChars="200"/>
        <w:rPr>
          <w:rFonts w:ascii="宋体" w:hAnsi="宋体"/>
        </w:rPr>
      </w:pPr>
      <w:r>
        <w:rPr>
          <w:rFonts w:hint="eastAsia" w:ascii="宋体" w:hAnsi="宋体"/>
        </w:rPr>
        <w:t>20、其余小门框：1.5mm钢板喷漆</w:t>
      </w:r>
    </w:p>
    <w:p>
      <w:pPr>
        <w:ind w:firstLine="480"/>
        <w:rPr>
          <w:rFonts w:ascii="宋体" w:hAnsi="宋体"/>
        </w:rPr>
      </w:pPr>
      <w:r>
        <w:rPr>
          <w:rFonts w:hint="eastAsia" w:ascii="宋体" w:hAnsi="宋体"/>
        </w:rPr>
        <w:t>21、厅门指示器：数字显示式（  √  ）、方向显示（</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w:t>
      </w:r>
    </w:p>
    <w:p>
      <w:pPr>
        <w:ind w:firstLine="480"/>
        <w:rPr>
          <w:rFonts w:ascii="宋体" w:hAnsi="宋体"/>
        </w:rPr>
      </w:pPr>
      <w:r>
        <w:rPr>
          <w:rFonts w:hint="eastAsia" w:ascii="宋体" w:hAnsi="宋体"/>
        </w:rPr>
        <w:t xml:space="preserve">22、轿内指示器：数字显示式（  </w:t>
      </w:r>
      <w:r>
        <w:rPr>
          <w:rFonts w:hint="eastAsia" w:ascii="宋体" w:hAnsi="宋体"/>
          <w:b/>
        </w:rPr>
        <w:t xml:space="preserve"> </w:t>
      </w:r>
      <w:r>
        <w:rPr>
          <w:rFonts w:hint="eastAsia" w:ascii="宋体" w:hAnsi="宋体"/>
        </w:rPr>
        <w:t>√</w:t>
      </w:r>
      <w:r>
        <w:rPr>
          <w:rFonts w:hint="eastAsia" w:ascii="宋体" w:hAnsi="宋体"/>
          <w:b/>
        </w:rPr>
        <w:t xml:space="preserve"> </w:t>
      </w:r>
      <w:r>
        <w:rPr>
          <w:rFonts w:hint="eastAsia" w:ascii="宋体" w:hAnsi="宋体"/>
        </w:rPr>
        <w:t>）、方向显示（   √  ）</w:t>
      </w:r>
    </w:p>
    <w:p>
      <w:pPr>
        <w:ind w:firstLine="480"/>
        <w:rPr>
          <w:rFonts w:ascii="宋体" w:hAnsi="宋体"/>
          <w:u w:val="single"/>
        </w:rPr>
      </w:pPr>
      <w:r>
        <w:rPr>
          <w:rFonts w:hint="eastAsia" w:ascii="宋体" w:hAnsi="宋体"/>
        </w:rPr>
        <w:t xml:space="preserve">23、通讯方式：对讲机（  √ </w:t>
      </w:r>
      <w:r>
        <w:rPr>
          <w:rFonts w:hint="eastAsia" w:ascii="宋体" w:hAnsi="宋体"/>
          <w:b/>
        </w:rPr>
        <w:t xml:space="preserve"> </w:t>
      </w:r>
      <w:r>
        <w:rPr>
          <w:rFonts w:hint="eastAsia" w:ascii="宋体" w:hAnsi="宋体"/>
        </w:rPr>
        <w:t>）、警铃（</w:t>
      </w:r>
      <w:r>
        <w:rPr>
          <w:rFonts w:hint="eastAsia" w:ascii="宋体" w:hAnsi="宋体"/>
          <w:b/>
        </w:rPr>
        <w:t xml:space="preserve"> </w:t>
      </w:r>
      <w:r>
        <w:rPr>
          <w:rFonts w:hint="eastAsia" w:ascii="宋体" w:hAnsi="宋体"/>
        </w:rPr>
        <w:t xml:space="preserve">  √  </w:t>
      </w:r>
      <w:r>
        <w:rPr>
          <w:rFonts w:hint="eastAsia" w:ascii="宋体" w:hAnsi="宋体"/>
          <w:b/>
        </w:rPr>
        <w:t xml:space="preserve"> </w:t>
      </w:r>
      <w:r>
        <w:rPr>
          <w:rFonts w:hint="eastAsia" w:ascii="宋体" w:hAnsi="宋体"/>
        </w:rPr>
        <w:t>）、其它</w:t>
      </w:r>
      <w:r>
        <w:rPr>
          <w:rFonts w:hint="eastAsia" w:ascii="宋体" w:hAnsi="宋体"/>
          <w:u w:val="single"/>
        </w:rPr>
        <w:t xml:space="preserve">   五方通话     </w:t>
      </w:r>
    </w:p>
    <w:p>
      <w:pPr>
        <w:rPr>
          <w:rFonts w:ascii="宋体" w:hAnsi="宋体"/>
        </w:rPr>
      </w:pPr>
      <w:r>
        <w:rPr>
          <w:rFonts w:hint="eastAsia" w:ascii="宋体" w:hAnsi="宋体"/>
        </w:rPr>
        <w:t>二、交货期：</w:t>
      </w:r>
      <w:r>
        <w:rPr>
          <w:rFonts w:hint="eastAsia" w:ascii="宋体" w:hAnsi="宋体"/>
          <w:u w:val="single"/>
        </w:rPr>
        <w:t xml:space="preserve">        </w:t>
      </w:r>
      <w:r>
        <w:rPr>
          <w:rFonts w:hint="eastAsia" w:ascii="宋体" w:hAnsi="宋体"/>
        </w:rPr>
        <w:t>年</w:t>
      </w:r>
      <w:r>
        <w:rPr>
          <w:rFonts w:hint="eastAsia" w:ascii="宋体" w:hAnsi="宋体"/>
          <w:u w:val="single"/>
        </w:rPr>
        <w:t xml:space="preserve">      </w:t>
      </w:r>
      <w:r>
        <w:rPr>
          <w:rFonts w:hint="eastAsia" w:ascii="宋体" w:hAnsi="宋体"/>
        </w:rPr>
        <w:t>月</w:t>
      </w:r>
      <w:r>
        <w:rPr>
          <w:rFonts w:hint="eastAsia" w:ascii="宋体" w:hAnsi="宋体"/>
          <w:u w:val="single"/>
        </w:rPr>
        <w:t xml:space="preserve">      </w:t>
      </w:r>
      <w:r>
        <w:rPr>
          <w:rFonts w:hint="eastAsia" w:ascii="宋体" w:hAnsi="宋体"/>
        </w:rPr>
        <w:t>日</w:t>
      </w:r>
    </w:p>
    <w:p>
      <w:pPr>
        <w:rPr>
          <w:rFonts w:ascii="宋体" w:hAnsi="宋体"/>
        </w:rPr>
      </w:pPr>
      <w:r>
        <w:rPr>
          <w:rFonts w:hint="eastAsia" w:ascii="宋体" w:hAnsi="宋体"/>
        </w:rPr>
        <w:t>三、要求：</w:t>
      </w:r>
    </w:p>
    <w:p>
      <w:pPr>
        <w:ind w:left="360"/>
        <w:rPr>
          <w:rFonts w:ascii="宋体" w:hAnsi="宋体"/>
        </w:rPr>
      </w:pPr>
      <w:r>
        <w:rPr>
          <w:rFonts w:hint="eastAsia" w:ascii="宋体" w:hAnsi="宋体"/>
        </w:rPr>
        <w:t>（1）是否含包装：■是   □否； （2）包装方式：■木箱包装   □简易包装</w:t>
      </w:r>
    </w:p>
    <w:p>
      <w:pPr>
        <w:ind w:left="360"/>
        <w:rPr>
          <w:rFonts w:ascii="宋体" w:hAnsi="宋体"/>
        </w:rPr>
      </w:pPr>
      <w:r>
        <w:rPr>
          <w:rFonts w:hint="eastAsia" w:ascii="宋体" w:hAnsi="宋体"/>
        </w:rPr>
        <w:t xml:space="preserve">（3）是否含运输：■是   </w:t>
      </w:r>
      <w:r>
        <w:rPr>
          <w:rFonts w:hint="eastAsia" w:ascii="宋体" w:hAnsi="宋体"/>
        </w:rPr>
        <w:sym w:font="Wingdings 2" w:char="00A3"/>
      </w:r>
      <w:r>
        <w:rPr>
          <w:rFonts w:hint="eastAsia" w:ascii="宋体" w:hAnsi="宋体"/>
        </w:rPr>
        <w:t xml:space="preserve"> 否； （4）是否含安装：■是  </w:t>
      </w:r>
      <w:r>
        <w:rPr>
          <w:rFonts w:hint="eastAsia" w:ascii="宋体" w:hAnsi="宋体"/>
        </w:rPr>
        <w:sym w:font="Wingdings 2" w:char="00A3"/>
      </w:r>
      <w:r>
        <w:rPr>
          <w:rFonts w:hint="eastAsia" w:ascii="宋体" w:hAnsi="宋体"/>
        </w:rPr>
        <w:t xml:space="preserve"> 否</w:t>
      </w:r>
    </w:p>
    <w:p>
      <w:pPr>
        <w:rPr>
          <w:rFonts w:ascii="宋体" w:hAnsi="宋体"/>
        </w:rPr>
      </w:pPr>
      <w:r>
        <w:rPr>
          <w:rFonts w:hint="eastAsia" w:ascii="宋体" w:hAnsi="宋体"/>
        </w:rPr>
        <w:t>四、其它要求：</w:t>
      </w:r>
    </w:p>
    <w:p>
      <w:pPr>
        <w:pStyle w:val="3"/>
      </w:pPr>
      <w:bookmarkStart w:id="11" w:name="_Toc120891605"/>
      <w:r>
        <w:rPr>
          <w:rFonts w:hint="eastAsia"/>
          <w:sz w:val="44"/>
        </w:rPr>
        <w:t>产品技术参数及要求</w:t>
      </w:r>
      <w:bookmarkEnd w:id="11"/>
      <w:r>
        <w:rPr>
          <w:rFonts w:hint="eastAsia"/>
        </w:rPr>
        <w:t xml:space="preserve"> </w:t>
      </w:r>
    </w:p>
    <w:p>
      <w:pPr>
        <w:numPr>
          <w:ilvl w:val="0"/>
          <w:numId w:val="5"/>
        </w:numPr>
        <w:spacing w:line="340" w:lineRule="exact"/>
        <w:rPr>
          <w:rFonts w:ascii="方正楷体简体" w:eastAsia="方正楷体简体"/>
        </w:rPr>
      </w:pPr>
      <w:r>
        <w:rPr>
          <w:rFonts w:hint="eastAsia" w:ascii="方正楷体简体" w:eastAsia="方正楷体简体"/>
        </w:rPr>
        <w:t>产品技术参数：</w:t>
      </w:r>
    </w:p>
    <w:p>
      <w:pPr>
        <w:numPr>
          <w:ilvl w:val="0"/>
          <w:numId w:val="9"/>
        </w:numPr>
        <w:spacing w:line="340" w:lineRule="exact"/>
        <w:ind w:left="840" w:hanging="360"/>
        <w:rPr>
          <w:rFonts w:ascii="方正楷体简体" w:eastAsia="方正楷体简体"/>
          <w:u w:val="single"/>
        </w:rPr>
      </w:pPr>
      <w:r>
        <w:rPr>
          <w:rFonts w:hint="eastAsia" w:ascii="方正楷体简体" w:eastAsia="方正楷体简体"/>
        </w:rPr>
        <w:t>型    号：</w:t>
      </w:r>
      <w:r>
        <w:rPr>
          <w:rFonts w:hint="eastAsia" w:ascii="方正楷体简体" w:eastAsia="方正楷体简体"/>
          <w:u w:val="single"/>
        </w:rPr>
        <w:t>TKJ1050/1.0-JXW无机房</w:t>
      </w:r>
    </w:p>
    <w:p>
      <w:pPr>
        <w:spacing w:line="340" w:lineRule="exact"/>
        <w:ind w:firstLine="480" w:firstLineChars="200"/>
        <w:rPr>
          <w:rFonts w:ascii="方正楷体简体" w:eastAsia="方正楷体简体"/>
        </w:rPr>
      </w:pPr>
      <w:r>
        <w:rPr>
          <w:rFonts w:hint="eastAsia" w:ascii="方正楷体简体" w:eastAsia="方正楷体简体"/>
        </w:rPr>
        <w:t>2、载 重 量</w:t>
      </w:r>
      <w:r>
        <w:rPr>
          <w:rFonts w:hint="eastAsia" w:ascii="方正楷体简体" w:eastAsia="方正楷体简体"/>
          <w:u w:val="single"/>
        </w:rPr>
        <w:t xml:space="preserve"> 1050 </w:t>
      </w:r>
      <w:r>
        <w:rPr>
          <w:rFonts w:hint="eastAsia" w:ascii="方正楷体简体" w:eastAsia="方正楷体简体"/>
        </w:rPr>
        <w:t>kg；速度：</w:t>
      </w:r>
      <w:r>
        <w:rPr>
          <w:rFonts w:hint="eastAsia" w:ascii="方正楷体简体" w:eastAsia="方正楷体简体"/>
          <w:u w:val="single"/>
        </w:rPr>
        <w:t xml:space="preserve">  1.0 </w:t>
      </w:r>
      <w:r>
        <w:rPr>
          <w:rFonts w:hint="eastAsia" w:ascii="方正楷体简体" w:eastAsia="方正楷体简体"/>
        </w:rPr>
        <w:t>m/s ； 数量：</w:t>
      </w:r>
      <w:r>
        <w:rPr>
          <w:rFonts w:hint="eastAsia" w:ascii="方正楷体简体" w:eastAsia="方正楷体简体"/>
          <w:u w:val="single"/>
        </w:rPr>
        <w:t xml:space="preserve"> 1 </w:t>
      </w:r>
      <w:r>
        <w:rPr>
          <w:rFonts w:hint="eastAsia" w:ascii="方正楷体简体" w:eastAsia="方正楷体简体"/>
        </w:rPr>
        <w:t>台</w:t>
      </w:r>
    </w:p>
    <w:p>
      <w:pPr>
        <w:spacing w:line="340" w:lineRule="exact"/>
        <w:ind w:firstLine="480" w:firstLineChars="200"/>
        <w:rPr>
          <w:rFonts w:ascii="方正楷体简体" w:eastAsia="方正楷体简体"/>
        </w:rPr>
      </w:pPr>
      <w:r>
        <w:rPr>
          <w:rFonts w:hint="eastAsia" w:ascii="方正楷体简体" w:eastAsia="方正楷体简体"/>
        </w:rPr>
        <w:t>3、层    站：</w:t>
      </w:r>
      <w:r>
        <w:rPr>
          <w:rFonts w:hint="eastAsia" w:ascii="方正楷体简体" w:eastAsia="方正楷体简体"/>
          <w:u w:val="single"/>
        </w:rPr>
        <w:t xml:space="preserve">7 </w:t>
      </w:r>
      <w:r>
        <w:rPr>
          <w:rFonts w:hint="eastAsia" w:ascii="方正楷体简体" w:eastAsia="方正楷体简体"/>
        </w:rPr>
        <w:t>层</w:t>
      </w:r>
      <w:r>
        <w:rPr>
          <w:rFonts w:hint="eastAsia" w:ascii="方正楷体简体" w:eastAsia="方正楷体简体"/>
          <w:u w:val="single"/>
        </w:rPr>
        <w:t xml:space="preserve"> 7 </w:t>
      </w:r>
      <w:r>
        <w:rPr>
          <w:rFonts w:hint="eastAsia" w:ascii="方正楷体简体" w:eastAsia="方正楷体简体"/>
        </w:rPr>
        <w:t>站</w:t>
      </w:r>
      <w:r>
        <w:rPr>
          <w:rFonts w:hint="eastAsia" w:ascii="方正楷体简体" w:eastAsia="方正楷体简体"/>
          <w:u w:val="single"/>
        </w:rPr>
        <w:t xml:space="preserve"> 7 </w:t>
      </w:r>
      <w:r>
        <w:rPr>
          <w:rFonts w:hint="eastAsia" w:ascii="方正楷体简体" w:eastAsia="方正楷体简体"/>
        </w:rPr>
        <w:t xml:space="preserve">门 </w:t>
      </w:r>
    </w:p>
    <w:p>
      <w:pPr>
        <w:spacing w:line="340" w:lineRule="exact"/>
        <w:ind w:firstLine="480" w:firstLineChars="200"/>
        <w:rPr>
          <w:rFonts w:ascii="方正楷体简体" w:eastAsia="方正楷体简体"/>
          <w:u w:val="single"/>
        </w:rPr>
      </w:pPr>
      <w:r>
        <w:rPr>
          <w:rFonts w:hint="eastAsia" w:ascii="方正楷体简体" w:eastAsia="方正楷体简体"/>
        </w:rPr>
        <w:t>4、控制形式：单台集选、</w:t>
      </w:r>
      <w:r>
        <w:rPr>
          <w:rFonts w:hint="eastAsia" w:ascii="方正楷体简体" w:eastAsia="方正楷体简体"/>
          <w:u w:val="single"/>
        </w:rPr>
        <w:t xml:space="preserve">             </w:t>
      </w:r>
      <w:r>
        <w:rPr>
          <w:rFonts w:hint="eastAsia" w:ascii="方正楷体简体" w:eastAsia="方正楷体简体"/>
        </w:rPr>
        <w:t xml:space="preserve"> (       )</w:t>
      </w:r>
    </w:p>
    <w:p>
      <w:pPr>
        <w:spacing w:line="340" w:lineRule="exact"/>
        <w:ind w:left="360" w:firstLine="64" w:firstLineChars="27"/>
        <w:rPr>
          <w:rFonts w:ascii="方正楷体简体" w:eastAsia="方正楷体简体"/>
          <w:u w:val="single"/>
        </w:rPr>
      </w:pPr>
      <w:r>
        <w:rPr>
          <w:rFonts w:hint="eastAsia" w:ascii="方正楷体简体" w:eastAsia="方正楷体简体"/>
        </w:rPr>
        <w:t>5、井道尺寸：宽</w:t>
      </w:r>
      <w:r>
        <w:rPr>
          <w:rFonts w:hint="eastAsia" w:ascii="方正楷体简体" w:eastAsia="方正楷体简体"/>
          <w:u w:val="single"/>
        </w:rPr>
        <w:t xml:space="preserve">  2200 </w:t>
      </w:r>
      <w:r>
        <w:rPr>
          <w:rFonts w:hint="eastAsia" w:ascii="方正楷体简体" w:eastAsia="方正楷体简体"/>
        </w:rPr>
        <w:t>（mm）×深</w:t>
      </w:r>
      <w:r>
        <w:rPr>
          <w:rFonts w:hint="eastAsia" w:ascii="方正楷体简体" w:eastAsia="方正楷体简体"/>
          <w:u w:val="single"/>
        </w:rPr>
        <w:t xml:space="preserve"> 2100  </w:t>
      </w:r>
      <w:r>
        <w:rPr>
          <w:rFonts w:hint="eastAsia" w:ascii="方正楷体简体" w:eastAsia="方正楷体简体"/>
        </w:rPr>
        <w:t>（mm）(净尺寸)</w:t>
      </w:r>
    </w:p>
    <w:p>
      <w:pPr>
        <w:spacing w:line="340" w:lineRule="exact"/>
        <w:ind w:left="120" w:firstLine="304" w:firstLineChars="127"/>
        <w:rPr>
          <w:rFonts w:ascii="方正楷体简体" w:eastAsia="方正楷体简体"/>
          <w:u w:val="single"/>
        </w:rPr>
      </w:pPr>
      <w:r>
        <w:rPr>
          <w:rFonts w:hint="eastAsia" w:ascii="方正楷体简体" w:eastAsia="方正楷体简体"/>
        </w:rPr>
        <w:t>6、井道总高：</w:t>
      </w:r>
      <w:r>
        <w:rPr>
          <w:rFonts w:hint="eastAsia" w:ascii="方正楷体简体" w:eastAsia="方正楷体简体"/>
          <w:u w:val="single"/>
        </w:rPr>
        <w:t xml:space="preserve"> 按实际测量为准 </w:t>
      </w:r>
      <w:r>
        <w:rPr>
          <w:rFonts w:hint="eastAsia" w:ascii="方正楷体简体" w:eastAsia="方正楷体简体"/>
        </w:rPr>
        <w:t>（mm）；井道材料：□砖墙、□水泥墙  □其它</w:t>
      </w:r>
      <w:r>
        <w:rPr>
          <w:rFonts w:hint="eastAsia" w:ascii="方正楷体简体" w:eastAsia="方正楷体简体"/>
          <w:u w:val="single"/>
        </w:rPr>
        <w:t xml:space="preserve">        </w:t>
      </w:r>
    </w:p>
    <w:p>
      <w:pPr>
        <w:spacing w:line="340" w:lineRule="exact"/>
        <w:ind w:left="120" w:firstLine="304" w:firstLineChars="127"/>
        <w:rPr>
          <w:rFonts w:ascii="方正楷体简体" w:eastAsia="方正楷体简体"/>
        </w:rPr>
      </w:pPr>
      <w:r>
        <w:rPr>
          <w:rFonts w:hint="eastAsia" w:ascii="方正楷体简体" w:eastAsia="方正楷体简体"/>
        </w:rPr>
        <w:t>7、机房尺寸：</w:t>
      </w:r>
      <w:r>
        <w:rPr>
          <w:rFonts w:hint="eastAsia" w:ascii="方正楷体简体" w:eastAsia="方正楷体简体"/>
          <w:u w:val="single"/>
        </w:rPr>
        <w:t>2200</w:t>
      </w:r>
      <w:r>
        <w:rPr>
          <w:rFonts w:hint="eastAsia" w:ascii="方正楷体简体" w:eastAsia="方正楷体简体"/>
        </w:rPr>
        <w:t>(mm)×深</w:t>
      </w:r>
      <w:r>
        <w:rPr>
          <w:rFonts w:hint="eastAsia" w:ascii="方正楷体简体" w:eastAsia="方正楷体简体"/>
          <w:u w:val="single"/>
        </w:rPr>
        <w:t>2100</w:t>
      </w:r>
      <w:r>
        <w:rPr>
          <w:rFonts w:hint="eastAsia" w:ascii="方正楷体简体" w:eastAsia="方正楷体简体"/>
        </w:rPr>
        <w:t>（mm）×高</w:t>
      </w:r>
      <w:r>
        <w:rPr>
          <w:rFonts w:hint="eastAsia" w:ascii="方正楷体简体" w:eastAsia="方正楷体简体"/>
          <w:u w:val="single"/>
        </w:rPr>
        <w:t>2500</w:t>
      </w:r>
      <w:r>
        <w:rPr>
          <w:rFonts w:hint="eastAsia" w:ascii="方正楷体简体" w:eastAsia="方正楷体简体"/>
        </w:rPr>
        <w:t>（mm）</w:t>
      </w:r>
    </w:p>
    <w:p>
      <w:pPr>
        <w:spacing w:line="340" w:lineRule="exact"/>
        <w:ind w:left="120" w:firstLine="304" w:firstLineChars="127"/>
        <w:rPr>
          <w:rFonts w:ascii="方正楷体简体" w:eastAsia="方正楷体简体"/>
          <w:u w:val="single"/>
        </w:rPr>
      </w:pPr>
      <w:r>
        <w:rPr>
          <w:rFonts w:hint="eastAsia" w:ascii="方正楷体简体" w:eastAsia="方正楷体简体"/>
        </w:rPr>
        <w:t>8、电梯停靠层站：</w:t>
      </w:r>
      <w:r>
        <w:rPr>
          <w:rFonts w:hint="eastAsia" w:ascii="方正楷体简体" w:eastAsia="方正楷体简体"/>
          <w:u w:val="single"/>
        </w:rPr>
        <w:t xml:space="preserve"> 1-4</w:t>
      </w:r>
    </w:p>
    <w:p>
      <w:pPr>
        <w:spacing w:line="340" w:lineRule="exact"/>
        <w:ind w:left="1094" w:leftChars="177" w:hanging="669" w:hangingChars="279"/>
        <w:rPr>
          <w:rFonts w:ascii="方正楷体简体" w:eastAsia="方正楷体简体"/>
        </w:rPr>
      </w:pPr>
      <w:r>
        <w:rPr>
          <w:rFonts w:hint="eastAsia" w:ascii="方正楷体简体" w:eastAsia="方正楷体简体"/>
        </w:rPr>
        <w:t>9、顶层高度：</w:t>
      </w:r>
      <w:r>
        <w:rPr>
          <w:rFonts w:hint="eastAsia" w:ascii="方正楷体简体" w:eastAsia="方正楷体简体"/>
          <w:u w:val="single"/>
        </w:rPr>
        <w:t xml:space="preserve"> 4780 </w:t>
      </w:r>
      <w:r>
        <w:rPr>
          <w:rFonts w:hint="eastAsia" w:ascii="方正楷体简体" w:eastAsia="方正楷体简体"/>
        </w:rPr>
        <w:t>（mm）；底坑深度</w:t>
      </w:r>
      <w:r>
        <w:rPr>
          <w:rFonts w:hint="eastAsia" w:ascii="方正楷体简体" w:eastAsia="方正楷体简体"/>
          <w:u w:val="single"/>
        </w:rPr>
        <w:t xml:space="preserve">1700 </w:t>
      </w:r>
      <w:r>
        <w:rPr>
          <w:rFonts w:hint="eastAsia" w:ascii="方正楷体简体" w:eastAsia="方正楷体简体"/>
        </w:rPr>
        <w:t>（mm）；提升高度按</w:t>
      </w:r>
      <w:r>
        <w:rPr>
          <w:rFonts w:hint="eastAsia" w:ascii="方正楷体简体" w:eastAsia="方正楷体简体"/>
          <w:u w:val="single"/>
        </w:rPr>
        <w:t xml:space="preserve">实际测量为准  </w:t>
      </w:r>
      <w:r>
        <w:rPr>
          <w:rFonts w:hint="eastAsia" w:ascii="方正楷体简体" w:eastAsia="方正楷体简体"/>
        </w:rPr>
        <w:t>（mm）</w:t>
      </w:r>
    </w:p>
    <w:p>
      <w:pPr>
        <w:spacing w:line="340" w:lineRule="exact"/>
        <w:ind w:left="120" w:firstLine="304" w:firstLineChars="127"/>
        <w:rPr>
          <w:rFonts w:ascii="方正楷体简体" w:eastAsia="方正楷体简体"/>
        </w:rPr>
      </w:pPr>
      <w:r>
        <w:rPr>
          <w:rFonts w:hint="eastAsia" w:ascii="方正楷体简体" w:eastAsia="方正楷体简体"/>
        </w:rPr>
        <w:t>10、轿厢尺寸：外尺寸宽：</w:t>
      </w:r>
      <w:r>
        <w:rPr>
          <w:rFonts w:hint="eastAsia" w:ascii="方正楷体简体" w:eastAsia="方正楷体简体"/>
          <w:u w:val="single"/>
        </w:rPr>
        <w:t xml:space="preserve">     </w:t>
      </w:r>
      <w:r>
        <w:rPr>
          <w:rFonts w:hint="eastAsia" w:ascii="方正楷体简体" w:eastAsia="方正楷体简体"/>
        </w:rPr>
        <w:t>（mm）深×</w:t>
      </w:r>
      <w:r>
        <w:rPr>
          <w:rFonts w:hint="eastAsia" w:ascii="方正楷体简体" w:eastAsia="方正楷体简体"/>
          <w:u w:val="single"/>
        </w:rPr>
        <w:t xml:space="preserve">     </w:t>
      </w:r>
      <w:r>
        <w:rPr>
          <w:rFonts w:hint="eastAsia" w:ascii="方正楷体简体" w:eastAsia="方正楷体简体"/>
        </w:rPr>
        <w:t>(mm)</w:t>
      </w:r>
    </w:p>
    <w:p>
      <w:pPr>
        <w:spacing w:line="340" w:lineRule="exact"/>
        <w:ind w:left="120" w:firstLine="1680" w:firstLineChars="700"/>
        <w:rPr>
          <w:rFonts w:ascii="方正楷体简体" w:eastAsia="方正楷体简体"/>
        </w:rPr>
      </w:pPr>
      <w:r>
        <w:rPr>
          <w:rFonts w:hint="eastAsia" w:ascii="方正楷体简体" w:eastAsia="方正楷体简体"/>
        </w:rPr>
        <w:t>内尺寸宽：</w:t>
      </w:r>
      <w:r>
        <w:rPr>
          <w:rFonts w:hint="eastAsia" w:ascii="方正楷体简体" w:eastAsia="方正楷体简体"/>
          <w:u w:val="single"/>
        </w:rPr>
        <w:t>1600</w:t>
      </w:r>
      <w:r>
        <w:rPr>
          <w:rFonts w:hint="eastAsia" w:ascii="方正楷体简体" w:eastAsia="方正楷体简体"/>
        </w:rPr>
        <w:t>（mm）深×</w:t>
      </w:r>
      <w:r>
        <w:rPr>
          <w:rFonts w:hint="eastAsia" w:ascii="方正楷体简体" w:eastAsia="方正楷体简体"/>
          <w:u w:val="single"/>
        </w:rPr>
        <w:t>1450</w:t>
      </w:r>
      <w:r>
        <w:rPr>
          <w:rFonts w:hint="eastAsia" w:ascii="方正楷体简体" w:eastAsia="方正楷体简体"/>
        </w:rPr>
        <w:t>(mm)×高</w:t>
      </w:r>
      <w:r>
        <w:rPr>
          <w:rFonts w:hint="eastAsia" w:ascii="方正楷体简体" w:eastAsia="方正楷体简体"/>
          <w:u w:val="single"/>
        </w:rPr>
        <w:t>2500</w:t>
      </w:r>
      <w:r>
        <w:rPr>
          <w:rFonts w:hint="eastAsia" w:ascii="方正楷体简体" w:eastAsia="方正楷体简体"/>
        </w:rPr>
        <w:t>（mm）</w:t>
      </w:r>
    </w:p>
    <w:p>
      <w:pPr>
        <w:spacing w:line="340" w:lineRule="exact"/>
        <w:ind w:left="120" w:firstLine="304" w:firstLineChars="127"/>
        <w:rPr>
          <w:rFonts w:ascii="方正楷体简体" w:eastAsia="方正楷体简体"/>
        </w:rPr>
      </w:pPr>
      <w:r>
        <w:rPr>
          <w:rFonts w:hint="eastAsia" w:ascii="方正楷体简体" w:eastAsia="方正楷体简体"/>
        </w:rPr>
        <w:t xml:space="preserve">11、开门形式：中分门 </w:t>
      </w:r>
    </w:p>
    <w:p>
      <w:pPr>
        <w:spacing w:line="340" w:lineRule="exact"/>
        <w:ind w:firstLine="426"/>
        <w:rPr>
          <w:rFonts w:ascii="方正楷体简体" w:eastAsia="方正楷体简体"/>
        </w:rPr>
      </w:pPr>
      <w:r>
        <w:rPr>
          <w:rFonts w:hint="eastAsia" w:ascii="方正楷体简体" w:eastAsia="方正楷体简体"/>
        </w:rPr>
        <w:t>12、开门宽度：</w:t>
      </w:r>
      <w:r>
        <w:rPr>
          <w:rFonts w:hint="eastAsia" w:ascii="方正楷体简体" w:eastAsia="方正楷体简体"/>
          <w:u w:val="single"/>
        </w:rPr>
        <w:t>900</w:t>
      </w:r>
      <w:r>
        <w:rPr>
          <w:rFonts w:hint="eastAsia" w:ascii="方正楷体简体" w:eastAsia="方正楷体简体"/>
        </w:rPr>
        <w:t>（mm），门口高度：</w:t>
      </w:r>
      <w:r>
        <w:rPr>
          <w:rFonts w:hint="eastAsia" w:ascii="方正楷体简体" w:eastAsia="方正楷体简体"/>
          <w:u w:val="single"/>
        </w:rPr>
        <w:t>2100</w:t>
      </w:r>
      <w:r>
        <w:rPr>
          <w:rFonts w:hint="eastAsia" w:ascii="方正楷体简体" w:eastAsia="方正楷体简体"/>
        </w:rPr>
        <w:t>（mm）</w:t>
      </w:r>
    </w:p>
    <w:p>
      <w:pPr>
        <w:spacing w:line="340" w:lineRule="exact"/>
        <w:ind w:firstLine="426"/>
        <w:rPr>
          <w:rFonts w:ascii="方正楷体简体" w:eastAsia="方正楷体简体"/>
        </w:rPr>
      </w:pPr>
      <w:r>
        <w:rPr>
          <w:rFonts w:hint="eastAsia" w:ascii="方正楷体简体" w:eastAsia="方正楷体简体"/>
        </w:rPr>
        <w:t>13、轿内操纵箱：（一体式 ）型、外呼召唤箱：（ 液晶显示  ）型</w:t>
      </w:r>
    </w:p>
    <w:p>
      <w:pPr>
        <w:spacing w:line="380" w:lineRule="exact"/>
        <w:ind w:firstLine="424" w:firstLineChars="177"/>
        <w:rPr>
          <w:rFonts w:ascii="方正楷体简体" w:eastAsia="方正楷体简体"/>
        </w:rPr>
      </w:pPr>
      <w:r>
        <w:rPr>
          <w:rFonts w:hint="eastAsia" w:ascii="方正楷体简体" w:eastAsia="方正楷体简体"/>
        </w:rPr>
        <w:t>14、轿厢装饰：1.2mm发纹不锈钢，后壁中间蚀刻镜面</w:t>
      </w:r>
    </w:p>
    <w:p>
      <w:pPr>
        <w:spacing w:line="340" w:lineRule="exact"/>
        <w:ind w:firstLine="424" w:firstLineChars="177"/>
        <w:rPr>
          <w:rFonts w:ascii="方正楷体简体" w:eastAsia="方正楷体简体"/>
        </w:rPr>
      </w:pPr>
      <w:r>
        <w:rPr>
          <w:rFonts w:hint="eastAsia" w:ascii="方正楷体简体" w:eastAsia="方正楷体简体"/>
        </w:rPr>
        <w:t>15、轿顶照明：豪华一体式镜面吊顶</w:t>
      </w:r>
    </w:p>
    <w:p>
      <w:pPr>
        <w:spacing w:line="340" w:lineRule="exact"/>
        <w:ind w:firstLine="426"/>
        <w:rPr>
          <w:rFonts w:ascii="方正楷体简体" w:eastAsia="方正楷体简体"/>
        </w:rPr>
      </w:pPr>
      <w:r>
        <w:rPr>
          <w:rFonts w:hint="eastAsia" w:ascii="方正楷体简体" w:eastAsia="方正楷体简体"/>
        </w:rPr>
        <w:t>16、轿厢地板：PVC</w:t>
      </w:r>
    </w:p>
    <w:p>
      <w:pPr>
        <w:spacing w:line="340" w:lineRule="exact"/>
        <w:ind w:firstLine="426"/>
        <w:rPr>
          <w:rFonts w:ascii="方正楷体简体" w:eastAsia="方正楷体简体"/>
        </w:rPr>
      </w:pPr>
      <w:r>
        <w:rPr>
          <w:rFonts w:hint="eastAsia" w:ascii="方正楷体简体" w:eastAsia="方正楷体简体"/>
        </w:rPr>
        <w:t>17、首层厅门及轿门装饰：1.5mm发纹不锈钢</w:t>
      </w:r>
    </w:p>
    <w:p>
      <w:pPr>
        <w:spacing w:line="380" w:lineRule="exact"/>
        <w:ind w:firstLine="424" w:firstLineChars="177"/>
        <w:rPr>
          <w:rFonts w:ascii="方正楷体简体" w:eastAsia="方正楷体简体"/>
        </w:rPr>
      </w:pPr>
      <w:r>
        <w:rPr>
          <w:rFonts w:hint="eastAsia" w:ascii="方正楷体简体" w:eastAsia="方正楷体简体"/>
        </w:rPr>
        <w:t>18、其余厅门装饰：1.5mm发纹不锈钢</w:t>
      </w:r>
    </w:p>
    <w:p>
      <w:pPr>
        <w:spacing w:line="380" w:lineRule="exact"/>
        <w:ind w:firstLine="424" w:firstLineChars="177"/>
        <w:rPr>
          <w:rFonts w:ascii="方正楷体简体" w:eastAsia="方正楷体简体"/>
        </w:rPr>
      </w:pPr>
      <w:r>
        <w:rPr>
          <w:rFonts w:hint="eastAsia" w:ascii="方正楷体简体" w:eastAsia="方正楷体简体"/>
        </w:rPr>
        <w:t>19、首层小门框：1.5mm发纹不锈钢</w:t>
      </w:r>
    </w:p>
    <w:p>
      <w:pPr>
        <w:spacing w:line="380" w:lineRule="exact"/>
        <w:ind w:firstLine="424" w:firstLineChars="177"/>
        <w:rPr>
          <w:rFonts w:ascii="方正楷体简体" w:eastAsia="方正楷体简体"/>
        </w:rPr>
      </w:pPr>
      <w:r>
        <w:rPr>
          <w:rFonts w:hint="eastAsia" w:ascii="方正楷体简体" w:eastAsia="方正楷体简体"/>
        </w:rPr>
        <w:t>20、其余小门框：1.5mm发纹不锈钢</w:t>
      </w:r>
    </w:p>
    <w:p>
      <w:pPr>
        <w:spacing w:line="340" w:lineRule="exact"/>
        <w:ind w:firstLine="426"/>
        <w:rPr>
          <w:rFonts w:ascii="方正楷体简体" w:eastAsia="方正楷体简体"/>
        </w:rPr>
      </w:pPr>
      <w:r>
        <w:rPr>
          <w:rFonts w:hint="eastAsia" w:ascii="方正楷体简体" w:eastAsia="方正楷体简体"/>
        </w:rPr>
        <w:t xml:space="preserve">21、厅门指示器：数字显示式（ </w:t>
      </w:r>
      <w:r>
        <w:rPr>
          <w:rFonts w:hint="eastAsia" w:ascii="宋体" w:hAnsi="宋体"/>
        </w:rPr>
        <w:t xml:space="preserve"> √ </w:t>
      </w:r>
      <w:r>
        <w:rPr>
          <w:rFonts w:hint="eastAsia" w:ascii="方正楷体简体" w:eastAsia="方正楷体简体"/>
        </w:rPr>
        <w:t xml:space="preserve"> ）、方向显示（</w:t>
      </w:r>
      <w:r>
        <w:rPr>
          <w:rFonts w:hint="eastAsia" w:ascii="方正楷体简体" w:eastAsia="方正楷体简体"/>
          <w:b/>
        </w:rPr>
        <w:t xml:space="preserve"> </w:t>
      </w:r>
      <w:r>
        <w:rPr>
          <w:rFonts w:hint="eastAsia" w:ascii="方正楷体简体" w:hAnsi="宋体" w:eastAsia="方正楷体简体"/>
        </w:rPr>
        <w:t xml:space="preserve"> </w:t>
      </w:r>
      <w:r>
        <w:rPr>
          <w:rFonts w:hint="eastAsia" w:ascii="宋体" w:hAnsi="宋体"/>
        </w:rPr>
        <w:t xml:space="preserve">√  </w:t>
      </w:r>
      <w:r>
        <w:rPr>
          <w:rFonts w:hint="eastAsia" w:ascii="方正楷体简体" w:eastAsia="方正楷体简体"/>
          <w:b/>
        </w:rPr>
        <w:t xml:space="preserve"> </w:t>
      </w:r>
      <w:r>
        <w:rPr>
          <w:rFonts w:hint="eastAsia" w:ascii="方正楷体简体" w:eastAsia="方正楷体简体"/>
        </w:rPr>
        <w:t>）</w:t>
      </w:r>
    </w:p>
    <w:p>
      <w:pPr>
        <w:spacing w:line="340" w:lineRule="exact"/>
        <w:ind w:firstLine="426"/>
        <w:rPr>
          <w:rFonts w:ascii="方正楷体简体" w:eastAsia="方正楷体简体"/>
        </w:rPr>
      </w:pPr>
      <w:r>
        <w:rPr>
          <w:rFonts w:hint="eastAsia" w:ascii="方正楷体简体" w:eastAsia="方正楷体简体"/>
        </w:rPr>
        <w:t>22、轿内指示器：数字显示式（</w:t>
      </w:r>
      <w:r>
        <w:rPr>
          <w:rFonts w:hint="eastAsia" w:ascii="宋体" w:hAnsi="宋体"/>
        </w:rPr>
        <w:t xml:space="preserve">  </w:t>
      </w:r>
      <w:r>
        <w:rPr>
          <w:rFonts w:hint="eastAsia" w:ascii="方正楷体简体" w:eastAsia="方正楷体简体"/>
          <w:b/>
        </w:rPr>
        <w:t xml:space="preserve"> </w:t>
      </w:r>
      <w:r>
        <w:rPr>
          <w:rFonts w:hint="eastAsia" w:ascii="宋体" w:hAnsi="宋体"/>
        </w:rPr>
        <w:t>√</w:t>
      </w:r>
      <w:r>
        <w:rPr>
          <w:rFonts w:hint="eastAsia" w:ascii="方正楷体简体" w:eastAsia="方正楷体简体"/>
          <w:b/>
        </w:rPr>
        <w:t xml:space="preserve"> </w:t>
      </w:r>
      <w:r>
        <w:rPr>
          <w:rFonts w:hint="eastAsia" w:ascii="方正楷体简体" w:eastAsia="方正楷体简体"/>
        </w:rPr>
        <w:t>）、方向显示（</w:t>
      </w:r>
      <w:r>
        <w:rPr>
          <w:rFonts w:hint="eastAsia" w:ascii="方正楷体简体" w:hAnsi="宋体" w:eastAsia="方正楷体简体"/>
        </w:rPr>
        <w:t xml:space="preserve">  </w:t>
      </w:r>
      <w:r>
        <w:rPr>
          <w:rFonts w:hint="eastAsia" w:ascii="宋体" w:hAnsi="宋体"/>
        </w:rPr>
        <w:t xml:space="preserve"> √ </w:t>
      </w:r>
      <w:r>
        <w:rPr>
          <w:rFonts w:hint="eastAsia" w:ascii="方正楷体简体" w:hAnsi="宋体" w:eastAsia="方正楷体简体"/>
        </w:rPr>
        <w:t xml:space="preserve"> </w:t>
      </w:r>
      <w:r>
        <w:rPr>
          <w:rFonts w:hint="eastAsia" w:ascii="方正楷体简体" w:eastAsia="方正楷体简体"/>
        </w:rPr>
        <w:t>）</w:t>
      </w:r>
    </w:p>
    <w:p>
      <w:pPr>
        <w:spacing w:line="340" w:lineRule="exact"/>
        <w:ind w:firstLine="480"/>
        <w:rPr>
          <w:rFonts w:ascii="方正楷体简体" w:eastAsia="方正楷体简体"/>
          <w:u w:val="single"/>
        </w:rPr>
      </w:pPr>
      <w:r>
        <w:rPr>
          <w:rFonts w:hint="eastAsia" w:ascii="方正楷体简体" w:eastAsia="方正楷体简体"/>
        </w:rPr>
        <w:t>23、通讯方式：对讲机（</w:t>
      </w:r>
      <w:r>
        <w:rPr>
          <w:rFonts w:hint="eastAsia" w:ascii="方正楷体简体" w:hAnsi="宋体" w:eastAsia="方正楷体简体"/>
        </w:rPr>
        <w:t xml:space="preserve"> </w:t>
      </w:r>
      <w:r>
        <w:rPr>
          <w:rFonts w:hint="eastAsia" w:ascii="宋体" w:hAnsi="宋体"/>
        </w:rPr>
        <w:t xml:space="preserve"> √ </w:t>
      </w:r>
      <w:r>
        <w:rPr>
          <w:rFonts w:hint="eastAsia" w:ascii="方正楷体简体" w:eastAsia="方正楷体简体"/>
          <w:b/>
        </w:rPr>
        <w:t xml:space="preserve"> </w:t>
      </w:r>
      <w:r>
        <w:rPr>
          <w:rFonts w:hint="eastAsia" w:ascii="方正楷体简体" w:eastAsia="方正楷体简体"/>
        </w:rPr>
        <w:t>）、警铃（</w:t>
      </w:r>
      <w:r>
        <w:rPr>
          <w:rFonts w:hint="eastAsia" w:ascii="方正楷体简体" w:eastAsia="方正楷体简体"/>
          <w:b/>
        </w:rPr>
        <w:t xml:space="preserve"> </w:t>
      </w:r>
      <w:r>
        <w:rPr>
          <w:rFonts w:hint="eastAsia" w:ascii="方正楷体简体" w:hAnsi="宋体" w:eastAsia="方正楷体简体"/>
        </w:rPr>
        <w:t xml:space="preserve"> </w:t>
      </w:r>
      <w:r>
        <w:rPr>
          <w:rFonts w:hint="eastAsia" w:ascii="宋体" w:hAnsi="宋体"/>
        </w:rPr>
        <w:t xml:space="preserve"> √ </w:t>
      </w:r>
      <w:r>
        <w:rPr>
          <w:rFonts w:hint="eastAsia" w:ascii="方正楷体简体" w:hAnsi="宋体" w:eastAsia="方正楷体简体"/>
        </w:rPr>
        <w:t xml:space="preserve"> </w:t>
      </w:r>
      <w:r>
        <w:rPr>
          <w:rFonts w:hint="eastAsia" w:ascii="方正楷体简体" w:eastAsia="方正楷体简体"/>
          <w:b/>
        </w:rPr>
        <w:t xml:space="preserve"> </w:t>
      </w:r>
      <w:r>
        <w:rPr>
          <w:rFonts w:hint="eastAsia" w:ascii="方正楷体简体" w:eastAsia="方正楷体简体"/>
        </w:rPr>
        <w:t>）、其它</w:t>
      </w:r>
      <w:r>
        <w:rPr>
          <w:rFonts w:hint="eastAsia" w:ascii="方正楷体简体" w:eastAsia="方正楷体简体"/>
          <w:u w:val="single"/>
        </w:rPr>
        <w:t xml:space="preserve">   五方通话     </w:t>
      </w:r>
    </w:p>
    <w:p>
      <w:pPr>
        <w:spacing w:line="340" w:lineRule="exact"/>
        <w:rPr>
          <w:rFonts w:ascii="方正楷体简体" w:eastAsia="方正楷体简体"/>
        </w:rPr>
      </w:pPr>
      <w:r>
        <w:rPr>
          <w:rFonts w:hint="eastAsia" w:ascii="方正楷体简体" w:eastAsia="方正楷体简体"/>
        </w:rPr>
        <w:t>二、交货期：</w:t>
      </w:r>
      <w:r>
        <w:rPr>
          <w:rFonts w:hint="eastAsia" w:ascii="方正楷体简体" w:eastAsia="方正楷体简体"/>
          <w:u w:val="single"/>
        </w:rPr>
        <w:t xml:space="preserve">        </w:t>
      </w:r>
      <w:r>
        <w:rPr>
          <w:rFonts w:hint="eastAsia" w:ascii="方正楷体简体" w:eastAsia="方正楷体简体"/>
        </w:rPr>
        <w:t>年</w:t>
      </w:r>
      <w:r>
        <w:rPr>
          <w:rFonts w:hint="eastAsia" w:ascii="方正楷体简体" w:eastAsia="方正楷体简体"/>
          <w:u w:val="single"/>
        </w:rPr>
        <w:t xml:space="preserve">      </w:t>
      </w:r>
      <w:r>
        <w:rPr>
          <w:rFonts w:hint="eastAsia" w:ascii="方正楷体简体" w:eastAsia="方正楷体简体"/>
        </w:rPr>
        <w:t>月</w:t>
      </w:r>
      <w:r>
        <w:rPr>
          <w:rFonts w:hint="eastAsia" w:ascii="方正楷体简体" w:eastAsia="方正楷体简体"/>
          <w:u w:val="single"/>
        </w:rPr>
        <w:t xml:space="preserve">      </w:t>
      </w:r>
      <w:r>
        <w:rPr>
          <w:rFonts w:hint="eastAsia" w:ascii="方正楷体简体" w:eastAsia="方正楷体简体"/>
        </w:rPr>
        <w:t>日</w:t>
      </w:r>
    </w:p>
    <w:p>
      <w:pPr>
        <w:rPr>
          <w:rFonts w:ascii="方正楷体简体" w:eastAsia="方正楷体简体"/>
        </w:rPr>
      </w:pPr>
      <w:r>
        <w:rPr>
          <w:rFonts w:hint="eastAsia" w:ascii="方正楷体简体" w:eastAsia="方正楷体简体"/>
        </w:rPr>
        <w:t>三、要求：</w:t>
      </w:r>
    </w:p>
    <w:p>
      <w:pPr>
        <w:spacing w:line="340" w:lineRule="exact"/>
        <w:ind w:left="360"/>
        <w:rPr>
          <w:rFonts w:ascii="方正楷体简体" w:eastAsia="方正楷体简体"/>
        </w:rPr>
      </w:pPr>
      <w:r>
        <w:rPr>
          <w:rFonts w:hint="eastAsia" w:ascii="方正楷体简体" w:eastAsia="方正楷体简体"/>
        </w:rPr>
        <w:t>（1）是否含包装：</w:t>
      </w:r>
      <w:r>
        <w:rPr>
          <w:rFonts w:hint="eastAsia" w:ascii="宋体" w:hAnsi="宋体"/>
        </w:rPr>
        <w:t>■</w:t>
      </w:r>
      <w:r>
        <w:rPr>
          <w:rFonts w:hint="eastAsia" w:ascii="方正楷体简体" w:eastAsia="方正楷体简体"/>
        </w:rPr>
        <w:t>是   □否； （2）包装方式：</w:t>
      </w:r>
      <w:r>
        <w:rPr>
          <w:rFonts w:hint="eastAsia" w:ascii="宋体" w:hAnsi="宋体"/>
        </w:rPr>
        <w:t>■</w:t>
      </w:r>
      <w:r>
        <w:rPr>
          <w:rFonts w:hint="eastAsia" w:ascii="方正楷体简体" w:eastAsia="方正楷体简体"/>
        </w:rPr>
        <w:t>木箱包装   □简易包装</w:t>
      </w:r>
    </w:p>
    <w:p>
      <w:pPr>
        <w:spacing w:line="340" w:lineRule="exact"/>
        <w:ind w:left="360"/>
        <w:rPr>
          <w:rFonts w:ascii="方正楷体简体" w:eastAsia="方正楷体简体"/>
        </w:rPr>
      </w:pPr>
      <w:r>
        <w:rPr>
          <w:rFonts w:hint="eastAsia" w:ascii="方正楷体简体" w:eastAsia="方正楷体简体"/>
        </w:rPr>
        <w:t>（3）是否含运输：</w:t>
      </w:r>
      <w:r>
        <w:rPr>
          <w:rFonts w:hint="eastAsia" w:ascii="宋体" w:hAnsi="宋体"/>
        </w:rPr>
        <w:t>■</w:t>
      </w:r>
      <w:r>
        <w:rPr>
          <w:rFonts w:hint="eastAsia" w:ascii="方正楷体简体" w:eastAsia="方正楷体简体"/>
        </w:rPr>
        <w:t xml:space="preserve">是   </w:t>
      </w:r>
      <w:r>
        <w:rPr>
          <w:rFonts w:hint="eastAsia" w:ascii="方正楷体简体" w:eastAsia="方正楷体简体"/>
        </w:rPr>
        <w:sym w:font="Wingdings 2" w:char="00A3"/>
      </w:r>
      <w:r>
        <w:rPr>
          <w:rFonts w:hint="eastAsia" w:ascii="方正楷体简体" w:eastAsia="方正楷体简体"/>
        </w:rPr>
        <w:t xml:space="preserve"> 否； （4）是否含安装：</w:t>
      </w:r>
      <w:r>
        <w:rPr>
          <w:rFonts w:hint="eastAsia" w:ascii="宋体" w:hAnsi="宋体"/>
        </w:rPr>
        <w:t>■</w:t>
      </w:r>
      <w:r>
        <w:rPr>
          <w:rFonts w:hint="eastAsia" w:ascii="方正楷体简体" w:eastAsia="方正楷体简体"/>
        </w:rPr>
        <w:t xml:space="preserve">是  </w:t>
      </w:r>
      <w:r>
        <w:rPr>
          <w:rFonts w:hint="eastAsia" w:ascii="方正楷体简体" w:eastAsia="方正楷体简体"/>
        </w:rPr>
        <w:sym w:font="Wingdings 2" w:char="00A3"/>
      </w:r>
      <w:r>
        <w:rPr>
          <w:rFonts w:hint="eastAsia" w:ascii="方正楷体简体" w:eastAsia="方正楷体简体"/>
        </w:rPr>
        <w:t xml:space="preserve"> 否</w:t>
      </w:r>
    </w:p>
    <w:p>
      <w:pPr>
        <w:rPr>
          <w:rFonts w:ascii="方正楷体简体" w:eastAsia="方正楷体简体"/>
        </w:rPr>
      </w:pPr>
      <w:r>
        <w:rPr>
          <w:rFonts w:hint="eastAsia" w:ascii="方正楷体简体" w:eastAsia="方正楷体简体"/>
        </w:rPr>
        <w:t>四、其它要求：</w:t>
      </w:r>
    </w:p>
    <w:p>
      <w:pPr>
        <w:widowControl/>
        <w:adjustRightInd/>
        <w:snapToGrid/>
        <w:spacing w:line="240" w:lineRule="auto"/>
        <w:jc w:val="left"/>
        <w:rPr>
          <w:rFonts w:ascii="宋体" w:hAnsi="宋体" w:cs="宋体"/>
          <w:color w:val="000000"/>
          <w:kern w:val="0"/>
          <w:szCs w:val="24"/>
        </w:rPr>
      </w:pPr>
      <w:r>
        <w:br w:type="page"/>
      </w:r>
    </w:p>
    <w:p>
      <w:pPr>
        <w:pStyle w:val="3"/>
      </w:pPr>
      <w:bookmarkStart w:id="12" w:name="_Toc120891606"/>
      <w:r>
        <w:rPr>
          <w:rFonts w:hint="eastAsia"/>
        </w:rPr>
        <w:t>电梯功能</w:t>
      </w:r>
      <w:bookmarkEnd w:id="12"/>
    </w:p>
    <w:tbl>
      <w:tblPr>
        <w:tblStyle w:val="9"/>
        <w:tblW w:w="5000" w:type="pct"/>
        <w:tblInd w:w="0" w:type="dxa"/>
        <w:tblLayout w:type="autofit"/>
        <w:tblCellMar>
          <w:top w:w="0" w:type="dxa"/>
          <w:left w:w="108" w:type="dxa"/>
          <w:bottom w:w="0" w:type="dxa"/>
          <w:right w:w="108" w:type="dxa"/>
        </w:tblCellMar>
      </w:tblPr>
      <w:tblGrid>
        <w:gridCol w:w="1190"/>
        <w:gridCol w:w="1207"/>
        <w:gridCol w:w="2537"/>
        <w:gridCol w:w="1168"/>
        <w:gridCol w:w="722"/>
        <w:gridCol w:w="1562"/>
        <w:gridCol w:w="900"/>
      </w:tblGrid>
      <w:tr>
        <w:tblPrEx>
          <w:tblCellMar>
            <w:top w:w="0" w:type="dxa"/>
            <w:left w:w="108" w:type="dxa"/>
            <w:bottom w:w="0" w:type="dxa"/>
            <w:right w:w="108" w:type="dxa"/>
          </w:tblCellMar>
        </w:tblPrEx>
        <w:trPr>
          <w:trHeight w:val="775" w:hRule="atLeast"/>
        </w:trPr>
        <w:tc>
          <w:tcPr>
            <w:tcW w:w="1291"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电梯编号</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elevator number</w:t>
            </w:r>
          </w:p>
        </w:tc>
        <w:tc>
          <w:tcPr>
            <w:tcW w:w="3709" w:type="pct"/>
            <w:gridSpan w:val="5"/>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669" w:hRule="atLeast"/>
        </w:trPr>
        <w:tc>
          <w:tcPr>
            <w:tcW w:w="1291" w:type="pct"/>
            <w:gridSpan w:val="2"/>
            <w:vMerge w:val="restart"/>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标准功能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Standard features</w:t>
            </w:r>
          </w:p>
          <w:p>
            <w:pPr>
              <w:spacing w:line="240" w:lineRule="auto"/>
              <w:rPr>
                <w:rFonts w:ascii="宋体" w:hAnsi="宋体" w:cs="宋体"/>
                <w:szCs w:val="24"/>
              </w:rPr>
            </w:pPr>
          </w:p>
          <w:p>
            <w:pPr>
              <w:spacing w:line="240" w:lineRule="auto"/>
              <w:rPr>
                <w:rFonts w:ascii="宋体" w:hAnsi="宋体" w:cs="宋体"/>
                <w:szCs w:val="24"/>
              </w:rPr>
            </w:pPr>
          </w:p>
          <w:p>
            <w:pPr>
              <w:spacing w:line="240" w:lineRule="auto"/>
              <w:rPr>
                <w:rFonts w:ascii="宋体" w:hAnsi="宋体" w:cs="宋体"/>
                <w:szCs w:val="24"/>
              </w:rPr>
            </w:pPr>
          </w:p>
          <w:p>
            <w:pPr>
              <w:spacing w:line="240" w:lineRule="auto"/>
              <w:rPr>
                <w:rFonts w:ascii="宋体" w:hAnsi="宋体" w:cs="宋体"/>
                <w:szCs w:val="24"/>
              </w:rPr>
            </w:pPr>
          </w:p>
          <w:p>
            <w:pPr>
              <w:spacing w:line="240" w:lineRule="auto"/>
              <w:rPr>
                <w:rFonts w:ascii="宋体" w:hAnsi="宋体" w:cs="宋体"/>
                <w:szCs w:val="24"/>
              </w:rPr>
            </w:pPr>
          </w:p>
          <w:p>
            <w:pPr>
              <w:spacing w:line="240" w:lineRule="auto"/>
              <w:rPr>
                <w:rFonts w:ascii="宋体" w:hAnsi="宋体" w:cs="宋体"/>
                <w:szCs w:val="24"/>
              </w:rPr>
            </w:pPr>
          </w:p>
          <w:p>
            <w:pPr>
              <w:spacing w:line="240" w:lineRule="auto"/>
              <w:rPr>
                <w:rFonts w:ascii="宋体" w:hAnsi="宋体" w:cs="宋体"/>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对讲机通讯功能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Radio communication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运行次数显示功能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Run number display</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轿顶检修操作功能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Car maintenance operation function</w:t>
            </w:r>
          </w:p>
        </w:tc>
      </w:tr>
      <w:tr>
        <w:tblPrEx>
          <w:tblCellMar>
            <w:top w:w="0" w:type="dxa"/>
            <w:left w:w="108" w:type="dxa"/>
            <w:bottom w:w="0" w:type="dxa"/>
            <w:right w:w="108" w:type="dxa"/>
          </w:tblCellMar>
        </w:tblPrEx>
        <w:trPr>
          <w:trHeight w:val="649"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电动机空转保护功能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motor idling protection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泊梯功能：1层</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Mooring ladder function: 1 layer</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无效内指令自动消除功能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Invalid instruction automatic elimination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全集选控制运行功能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complete control operation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超速机械保护功能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mechanical overspeed protection function</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故障自动检测功能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Fault automatic detection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抗电磁干扰功能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Resistance to electromagnetic interference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开门异常自动停层功能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Open the door abnormal automatic stop layer function</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轿内照明自动控制功能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Lighting in the car automatic control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起动补偿功能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Starting compensation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开关门时间超常保护功能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Closing time superior protection function</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门过载保护功能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Door overload protection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警铃报警功能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Alarm bell alarm</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满载直驶运行功能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Full of straight run function</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待机定期自检功能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Standby self-check function on a regular basis</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反向内指令自动消除功能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Reverse order automatic elimination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开门时间自动调整功能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Open time automatic adjustment function</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开门时间自动控制功能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Open time automatic control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停平在非门区报警功能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Stop in the gate area alarm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机房调试操作功能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Rooms debug functions</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自动平层功能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Automatic flat layer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位置异常自动校正功能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Abnormal position automatic correction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超载保护功能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overload protection function</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停电应急照明功能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Blackout emergency lighting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底坑对讲机通讯功能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Pit radio communication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消防迫降功能：1层</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Fire landing function: 1 layer</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故障自动存储功能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Fault automatic storage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同步电机磁级码静态测试功能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Synchronous motor magnetic level code static testing functions</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超载报警功能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Overload alarm</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超速电气保护功能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Speeding electric protection function</w:t>
            </w:r>
          </w:p>
        </w:tc>
      </w:tr>
      <w:tr>
        <w:tblPrEx>
          <w:tblCellMar>
            <w:top w:w="0" w:type="dxa"/>
            <w:left w:w="108" w:type="dxa"/>
            <w:bottom w:w="0" w:type="dxa"/>
            <w:right w:w="108" w:type="dxa"/>
          </w:tblCellMar>
        </w:tblPrEx>
        <w:trPr>
          <w:trHeight w:val="754"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电梯服务支援功能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elevator service supporting functions</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层高自测定功能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height from measurement function</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轿内低速运行功能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Low speed running function in the car</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电动机过载保护功能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Motor overload protection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抱闸动作的双安全检测功能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Brake action of the function of security detection</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门停止运行功能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Door stop running function</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轿内通风自动控制功能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Ventilation in the car automatic control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无呼自返基站功能：1层</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No call from the return to base station function: 1 layer</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故障低速运行功能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Fault running at low speed function</w:t>
            </w:r>
          </w:p>
        </w:tc>
      </w:tr>
      <w:tr>
        <w:tblPrEx>
          <w:tblCellMar>
            <w:top w:w="0" w:type="dxa"/>
            <w:left w:w="108" w:type="dxa"/>
            <w:bottom w:w="0" w:type="dxa"/>
            <w:right w:w="108" w:type="dxa"/>
          </w:tblCellMar>
        </w:tblPrEx>
        <w:trPr>
          <w:trHeight w:val="390" w:hRule="atLeast"/>
        </w:trPr>
        <w:tc>
          <w:tcPr>
            <w:tcW w:w="641" w:type="pct"/>
            <w:tcBorders>
              <w:top w:val="single" w:color="auto" w:sz="4" w:space="0"/>
              <w:left w:val="single" w:color="auto" w:sz="4" w:space="0"/>
              <w:bottom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选配功能</w:t>
            </w:r>
          </w:p>
        </w:tc>
        <w:tc>
          <w:tcPr>
            <w:tcW w:w="650" w:type="pct"/>
            <w:tcBorders>
              <w:top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ascii="宋体" w:hAnsi="宋体" w:cs="宋体"/>
                <w:color w:val="000000"/>
                <w:kern w:val="0"/>
                <w:szCs w:val="24"/>
              </w:rPr>
              <w:t>Optional features</w:t>
            </w:r>
          </w:p>
        </w:tc>
        <w:tc>
          <w:tcPr>
            <w:tcW w:w="1366" w:type="pct"/>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并联控制功能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Parallel control function</w:t>
            </w:r>
          </w:p>
        </w:tc>
        <w:tc>
          <w:tcPr>
            <w:tcW w:w="1018"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数字式五方通话功能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Digital five parties</w:t>
            </w:r>
          </w:p>
        </w:tc>
        <w:tc>
          <w:tcPr>
            <w:tcW w:w="1326" w:type="pct"/>
            <w:gridSpan w:val="2"/>
            <w:tcBorders>
              <w:top w:val="nil"/>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762" w:hRule="atLeast"/>
        </w:trPr>
        <w:tc>
          <w:tcPr>
            <w:tcW w:w="641" w:type="pct"/>
            <w:tcBorders>
              <w:top w:val="single" w:color="auto" w:sz="4" w:space="0"/>
              <w:left w:val="single" w:color="auto" w:sz="4" w:space="0"/>
              <w:bottom w:val="single" w:color="auto" w:sz="4" w:space="0"/>
            </w:tcBorders>
            <w:vAlign w:val="center"/>
          </w:tcPr>
          <w:p>
            <w:pPr>
              <w:widowControl/>
              <w:spacing w:line="240" w:lineRule="auto"/>
              <w:jc w:val="left"/>
              <w:rPr>
                <w:rFonts w:ascii="宋体" w:hAnsi="宋体" w:cs="宋体"/>
                <w:color w:val="000000"/>
                <w:kern w:val="0"/>
                <w:szCs w:val="24"/>
              </w:rPr>
            </w:pPr>
          </w:p>
        </w:tc>
        <w:tc>
          <w:tcPr>
            <w:tcW w:w="650" w:type="pct"/>
            <w:tcBorders>
              <w:top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轿内误指令取消功能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Car instructions to cancel the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预留视频电缆</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Reserve a video cable</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　</w:t>
            </w:r>
          </w:p>
        </w:tc>
      </w:tr>
      <w:tr>
        <w:tblPrEx>
          <w:tblCellMar>
            <w:top w:w="0" w:type="dxa"/>
            <w:left w:w="108" w:type="dxa"/>
            <w:bottom w:w="0" w:type="dxa"/>
            <w:right w:w="108" w:type="dxa"/>
          </w:tblCellMar>
        </w:tblPrEx>
        <w:trPr>
          <w:trHeight w:val="703" w:hRule="atLeast"/>
        </w:trPr>
        <w:tc>
          <w:tcPr>
            <w:tcW w:w="1291" w:type="pct"/>
            <w:gridSpan w:val="2"/>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功能说明</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Functional specifications</w:t>
            </w:r>
          </w:p>
        </w:tc>
        <w:tc>
          <w:tcPr>
            <w:tcW w:w="1366"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厅外检修显示功能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Outside the hall maintenance display function</w:t>
            </w:r>
          </w:p>
        </w:tc>
        <w:tc>
          <w:tcPr>
            <w:tcW w:w="1018"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　</w:t>
            </w:r>
          </w:p>
        </w:tc>
        <w:tc>
          <w:tcPr>
            <w:tcW w:w="1326" w:type="pct"/>
            <w:gridSpan w:val="2"/>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　</w:t>
            </w:r>
          </w:p>
        </w:tc>
      </w:tr>
      <w:tr>
        <w:tblPrEx>
          <w:tblCellMar>
            <w:top w:w="0" w:type="dxa"/>
            <w:left w:w="108" w:type="dxa"/>
            <w:bottom w:w="0" w:type="dxa"/>
            <w:right w:w="108" w:type="dxa"/>
          </w:tblCellMar>
        </w:tblPrEx>
        <w:trPr>
          <w:trHeight w:val="390" w:hRule="atLeast"/>
        </w:trPr>
        <w:tc>
          <w:tcPr>
            <w:tcW w:w="1291" w:type="pct"/>
            <w:gridSpan w:val="2"/>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3709" w:type="pct"/>
            <w:gridSpan w:val="5"/>
            <w:vMerge w:val="restart"/>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电梯物联网系统：保修期及有偿保养期内卖方提供，为确保电梯服务物联网功能的正常使用，用户要保证电梯安装场所的GPRS信号良好</w:t>
            </w:r>
          </w:p>
        </w:tc>
      </w:tr>
      <w:tr>
        <w:tblPrEx>
          <w:tblCellMar>
            <w:top w:w="0" w:type="dxa"/>
            <w:left w:w="108" w:type="dxa"/>
            <w:bottom w:w="0" w:type="dxa"/>
            <w:right w:w="108" w:type="dxa"/>
          </w:tblCellMar>
        </w:tblPrEx>
        <w:trPr>
          <w:trHeight w:val="390" w:hRule="atLeast"/>
        </w:trPr>
        <w:tc>
          <w:tcPr>
            <w:tcW w:w="1291" w:type="pct"/>
            <w:gridSpan w:val="2"/>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c>
          <w:tcPr>
            <w:tcW w:w="3709" w:type="pct"/>
            <w:gridSpan w:val="5"/>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53" w:hRule="atLeast"/>
        </w:trPr>
        <w:tc>
          <w:tcPr>
            <w:tcW w:w="1291"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门保护装置</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 xml:space="preserve">Door </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protection device</w:t>
            </w:r>
          </w:p>
        </w:tc>
        <w:tc>
          <w:tcPr>
            <w:tcW w:w="3709" w:type="pct"/>
            <w:gridSpan w:val="5"/>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智能光幕保护功能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Intelligent screen protection function</w:t>
            </w:r>
          </w:p>
        </w:tc>
      </w:tr>
      <w:tr>
        <w:tblPrEx>
          <w:tblCellMar>
            <w:top w:w="0" w:type="dxa"/>
            <w:left w:w="108" w:type="dxa"/>
            <w:bottom w:w="0" w:type="dxa"/>
            <w:right w:w="108" w:type="dxa"/>
          </w:tblCellMar>
        </w:tblPrEx>
        <w:trPr>
          <w:trHeight w:val="390" w:hRule="atLeast"/>
        </w:trPr>
        <w:tc>
          <w:tcPr>
            <w:tcW w:w="1291" w:type="pct"/>
            <w:gridSpan w:val="2"/>
            <w:tcBorders>
              <w:top w:val="single" w:color="auto" w:sz="4" w:space="0"/>
              <w:left w:val="single" w:color="auto" w:sz="4" w:space="0"/>
              <w:bottom w:val="single" w:color="auto" w:sz="4" w:space="0"/>
              <w:right w:val="nil"/>
            </w:tcBorders>
            <w:vAlign w:val="center"/>
          </w:tcPr>
          <w:p>
            <w:pPr>
              <w:widowControl/>
              <w:spacing w:line="240" w:lineRule="auto"/>
              <w:jc w:val="left"/>
              <w:rPr>
                <w:rFonts w:ascii="宋体" w:hAnsi="宋体" w:cs="宋体"/>
                <w:color w:val="000000"/>
                <w:kern w:val="0"/>
                <w:szCs w:val="24"/>
              </w:rPr>
            </w:pPr>
          </w:p>
        </w:tc>
        <w:tc>
          <w:tcPr>
            <w:tcW w:w="1995" w:type="pct"/>
            <w:gridSpan w:val="2"/>
            <w:tcBorders>
              <w:top w:val="single" w:color="auto" w:sz="4" w:space="0"/>
              <w:left w:val="nil"/>
              <w:bottom w:val="single" w:color="auto" w:sz="4" w:space="0"/>
              <w:right w:val="nil"/>
            </w:tcBorders>
            <w:vAlign w:val="center"/>
          </w:tcPr>
          <w:p>
            <w:pPr>
              <w:widowControl/>
              <w:spacing w:line="240" w:lineRule="auto"/>
              <w:jc w:val="left"/>
              <w:rPr>
                <w:rFonts w:ascii="宋体" w:hAnsi="宋体" w:cs="宋体"/>
                <w:color w:val="000000"/>
                <w:kern w:val="0"/>
                <w:szCs w:val="24"/>
              </w:rPr>
            </w:pPr>
          </w:p>
        </w:tc>
        <w:tc>
          <w:tcPr>
            <w:tcW w:w="1230" w:type="pct"/>
            <w:gridSpan w:val="2"/>
            <w:tcBorders>
              <w:top w:val="single" w:color="auto" w:sz="4" w:space="0"/>
              <w:left w:val="nil"/>
              <w:bottom w:val="single" w:color="auto" w:sz="4" w:space="0"/>
              <w:right w:val="nil"/>
            </w:tcBorders>
            <w:vAlign w:val="center"/>
          </w:tcPr>
          <w:p>
            <w:pPr>
              <w:widowControl/>
              <w:spacing w:line="240" w:lineRule="auto"/>
              <w:jc w:val="left"/>
              <w:rPr>
                <w:rFonts w:ascii="宋体" w:hAnsi="宋体" w:cs="宋体"/>
                <w:color w:val="000000"/>
                <w:kern w:val="0"/>
                <w:szCs w:val="24"/>
              </w:rPr>
            </w:pPr>
          </w:p>
        </w:tc>
        <w:tc>
          <w:tcPr>
            <w:tcW w:w="484" w:type="pct"/>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390" w:hRule="atLeast"/>
        </w:trPr>
        <w:tc>
          <w:tcPr>
            <w:tcW w:w="1291"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对讲系统</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intercom</w:t>
            </w:r>
          </w:p>
        </w:tc>
        <w:tc>
          <w:tcPr>
            <w:tcW w:w="3709" w:type="pct"/>
            <w:gridSpan w:val="5"/>
            <w:tcBorders>
              <w:top w:val="single" w:color="auto" w:sz="4" w:space="0"/>
              <w:left w:val="single" w:color="auto" w:sz="4" w:space="0"/>
              <w:bottom w:val="nil"/>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机房（无机房时为控制柜）至监控中心的布线：线材、线谱及建设工程由买方负责</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Room (when there is no room for control cabinet) to the monitoring center wiring: wire rod, pattern and construction engineering for buyer's</w:t>
            </w:r>
          </w:p>
        </w:tc>
      </w:tr>
      <w:tr>
        <w:tblPrEx>
          <w:tblCellMar>
            <w:top w:w="0" w:type="dxa"/>
            <w:left w:w="108" w:type="dxa"/>
            <w:bottom w:w="0" w:type="dxa"/>
            <w:right w:w="108" w:type="dxa"/>
          </w:tblCellMar>
        </w:tblPrEx>
        <w:trPr>
          <w:trHeight w:val="390" w:hRule="atLeast"/>
        </w:trPr>
        <w:tc>
          <w:tcPr>
            <w:tcW w:w="1291" w:type="pct"/>
            <w:gridSpan w:val="2"/>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视频电缆</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Video cable</w:t>
            </w:r>
          </w:p>
        </w:tc>
        <w:tc>
          <w:tcPr>
            <w:tcW w:w="3709" w:type="pct"/>
            <w:gridSpan w:val="5"/>
            <w:vMerge w:val="restart"/>
            <w:tcBorders>
              <w:top w:val="nil"/>
              <w:left w:val="single" w:color="auto" w:sz="4" w:space="0"/>
              <w:bottom w:val="single" w:color="000000"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　</w:t>
            </w:r>
          </w:p>
        </w:tc>
      </w:tr>
      <w:tr>
        <w:tblPrEx>
          <w:tblCellMar>
            <w:top w:w="0" w:type="dxa"/>
            <w:left w:w="108" w:type="dxa"/>
            <w:bottom w:w="0" w:type="dxa"/>
            <w:right w:w="108" w:type="dxa"/>
          </w:tblCellMar>
        </w:tblPrEx>
        <w:trPr>
          <w:trHeight w:val="390" w:hRule="atLeast"/>
        </w:trPr>
        <w:tc>
          <w:tcPr>
            <w:tcW w:w="1291" w:type="pct"/>
            <w:gridSpan w:val="2"/>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　</w:t>
            </w:r>
          </w:p>
        </w:tc>
        <w:tc>
          <w:tcPr>
            <w:tcW w:w="3709" w:type="pct"/>
            <w:gridSpan w:val="5"/>
            <w:vMerge w:val="continue"/>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390" w:hRule="atLeast"/>
        </w:trPr>
        <w:tc>
          <w:tcPr>
            <w:tcW w:w="1291" w:type="pct"/>
            <w:gridSpan w:val="2"/>
            <w:tcBorders>
              <w:top w:val="nil"/>
              <w:left w:val="single" w:color="auto" w:sz="4" w:space="0"/>
              <w:bottom w:val="nil"/>
              <w:right w:val="nil"/>
            </w:tcBorders>
            <w:vAlign w:val="center"/>
          </w:tcPr>
          <w:p>
            <w:pPr>
              <w:widowControl/>
              <w:spacing w:line="240" w:lineRule="auto"/>
              <w:jc w:val="left"/>
              <w:rPr>
                <w:rFonts w:ascii="宋体" w:hAnsi="宋体" w:cs="宋体"/>
                <w:color w:val="000000"/>
                <w:kern w:val="0"/>
                <w:szCs w:val="24"/>
              </w:rPr>
            </w:pPr>
          </w:p>
        </w:tc>
        <w:tc>
          <w:tcPr>
            <w:tcW w:w="1995" w:type="pct"/>
            <w:gridSpan w:val="2"/>
            <w:tcBorders>
              <w:top w:val="nil"/>
              <w:left w:val="nil"/>
              <w:bottom w:val="nil"/>
              <w:right w:val="nil"/>
            </w:tcBorders>
            <w:vAlign w:val="center"/>
          </w:tcPr>
          <w:p>
            <w:pPr>
              <w:widowControl/>
              <w:spacing w:line="240" w:lineRule="auto"/>
              <w:jc w:val="left"/>
              <w:rPr>
                <w:rFonts w:ascii="宋体" w:hAnsi="宋体" w:cs="宋体"/>
                <w:color w:val="000000"/>
                <w:kern w:val="0"/>
                <w:szCs w:val="24"/>
              </w:rPr>
            </w:pPr>
          </w:p>
        </w:tc>
        <w:tc>
          <w:tcPr>
            <w:tcW w:w="1230" w:type="pct"/>
            <w:gridSpan w:val="2"/>
            <w:tcBorders>
              <w:top w:val="nil"/>
              <w:left w:val="nil"/>
              <w:bottom w:val="nil"/>
              <w:right w:val="nil"/>
            </w:tcBorders>
            <w:vAlign w:val="center"/>
          </w:tcPr>
          <w:p>
            <w:pPr>
              <w:widowControl/>
              <w:spacing w:line="240" w:lineRule="auto"/>
              <w:jc w:val="left"/>
              <w:rPr>
                <w:rFonts w:ascii="宋体" w:hAnsi="宋体" w:cs="宋体"/>
                <w:color w:val="000000"/>
                <w:kern w:val="0"/>
                <w:szCs w:val="24"/>
              </w:rPr>
            </w:pPr>
          </w:p>
        </w:tc>
        <w:tc>
          <w:tcPr>
            <w:tcW w:w="484" w:type="pct"/>
            <w:tcBorders>
              <w:top w:val="nil"/>
              <w:left w:val="nil"/>
              <w:bottom w:val="nil"/>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390" w:hRule="atLeast"/>
        </w:trPr>
        <w:tc>
          <w:tcPr>
            <w:tcW w:w="5000" w:type="pct"/>
            <w:gridSpan w:val="7"/>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所有层无水泥牛腿，改由钢牛腿安装；</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All layers without bracket, cement replaced by steel bracket installation;</w:t>
            </w:r>
          </w:p>
        </w:tc>
      </w:tr>
      <w:tr>
        <w:tblPrEx>
          <w:tblCellMar>
            <w:top w:w="0" w:type="dxa"/>
            <w:left w:w="108" w:type="dxa"/>
            <w:bottom w:w="0" w:type="dxa"/>
            <w:right w:w="108" w:type="dxa"/>
          </w:tblCellMar>
        </w:tblPrEx>
        <w:trPr>
          <w:trHeight w:val="390" w:hRule="atLeast"/>
        </w:trPr>
        <w:tc>
          <w:tcPr>
            <w:tcW w:w="5000" w:type="pct"/>
            <w:gridSpan w:val="7"/>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井道壁构成是：砖墙+圈梁，井道壁厚是：200mm</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Shaft wall structure is: bricks + ring beam, shaft wall thickness is: 200 mm</w:t>
            </w:r>
          </w:p>
        </w:tc>
      </w:tr>
      <w:tr>
        <w:tblPrEx>
          <w:tblCellMar>
            <w:top w:w="0" w:type="dxa"/>
            <w:left w:w="108" w:type="dxa"/>
            <w:bottom w:w="0" w:type="dxa"/>
            <w:right w:w="108" w:type="dxa"/>
          </w:tblCellMar>
        </w:tblPrEx>
        <w:trPr>
          <w:trHeight w:val="390" w:hRule="atLeast"/>
        </w:trPr>
        <w:tc>
          <w:tcPr>
            <w:tcW w:w="5000" w:type="pct"/>
            <w:gridSpan w:val="7"/>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由卖方配发拉爆螺丝</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Issued by the seller to pull the screw</w:t>
            </w:r>
          </w:p>
        </w:tc>
      </w:tr>
      <w:tr>
        <w:tblPrEx>
          <w:tblCellMar>
            <w:top w:w="0" w:type="dxa"/>
            <w:left w:w="108" w:type="dxa"/>
            <w:bottom w:w="0" w:type="dxa"/>
            <w:right w:w="108" w:type="dxa"/>
          </w:tblCellMar>
        </w:tblPrEx>
        <w:trPr>
          <w:trHeight w:val="870" w:hRule="atLeast"/>
        </w:trPr>
        <w:tc>
          <w:tcPr>
            <w:tcW w:w="5000" w:type="pct"/>
            <w:gridSpan w:val="7"/>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井道四壁（包括各层统腰圈梁）应是垂直的，井道高度＜30m，井道垂直度偏差为0-+25mm，30m＜井道高度＜60m时，井道垂直偏差为0-+35mm，井道高度＞60m时，井道垂直度偏差为0-+50mm，机房及井道的是墙壁，地板和屋顶应能大量吸收电梯运行时产生的噪音。电梯不应与卧室、起居室（厅）紧邻布置，凡受条件限制紧邻布置时，必须由使用单位负责采取隔声、减振措施</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Shaft walls (including each layer series ring beam waist) should be vertical, shaft height &lt; 30 mm, shaft verticality deviation of 0 + 25 mm, 30 m &lt; shaft height &lt; 60 m, shaft vertical deviation of 0 + 35 mm, shaft height &gt; 60 m, shaft verticality deviation of 0 + 50 mm, computer room and the shaft is walls, floor and roof should be can absorb a large number of elevator noise when running. Elevator should not next to decorate, bedroom, living room (hall) who restricted by conditions close to decorate, must by using the unit responsible for sound insulation, vibration reduction measures</w:t>
            </w:r>
          </w:p>
        </w:tc>
      </w:tr>
      <w:tr>
        <w:tblPrEx>
          <w:tblCellMar>
            <w:top w:w="0" w:type="dxa"/>
            <w:left w:w="108" w:type="dxa"/>
            <w:bottom w:w="0" w:type="dxa"/>
            <w:right w:w="108" w:type="dxa"/>
          </w:tblCellMar>
        </w:tblPrEx>
        <w:trPr>
          <w:trHeight w:val="390" w:hRule="atLeast"/>
        </w:trPr>
        <w:tc>
          <w:tcPr>
            <w:tcW w:w="1291" w:type="pct"/>
            <w:gridSpan w:val="2"/>
            <w:tcBorders>
              <w:top w:val="nil"/>
              <w:left w:val="single" w:color="auto" w:sz="4" w:space="0"/>
              <w:bottom w:val="nil"/>
              <w:right w:val="nil"/>
            </w:tcBorders>
            <w:vAlign w:val="center"/>
          </w:tcPr>
          <w:p>
            <w:pPr>
              <w:widowControl/>
              <w:spacing w:line="240" w:lineRule="auto"/>
              <w:jc w:val="left"/>
              <w:rPr>
                <w:rFonts w:ascii="宋体" w:hAnsi="宋体" w:cs="宋体"/>
                <w:color w:val="000000"/>
                <w:kern w:val="0"/>
                <w:szCs w:val="24"/>
              </w:rPr>
            </w:pPr>
          </w:p>
        </w:tc>
        <w:tc>
          <w:tcPr>
            <w:tcW w:w="1995" w:type="pct"/>
            <w:gridSpan w:val="2"/>
            <w:tcBorders>
              <w:top w:val="nil"/>
              <w:left w:val="nil"/>
              <w:bottom w:val="nil"/>
              <w:right w:val="nil"/>
            </w:tcBorders>
            <w:vAlign w:val="center"/>
          </w:tcPr>
          <w:p>
            <w:pPr>
              <w:widowControl/>
              <w:spacing w:line="240" w:lineRule="auto"/>
              <w:jc w:val="left"/>
              <w:rPr>
                <w:rFonts w:ascii="宋体" w:hAnsi="宋体" w:cs="宋体"/>
                <w:color w:val="000000"/>
                <w:kern w:val="0"/>
                <w:szCs w:val="24"/>
              </w:rPr>
            </w:pPr>
          </w:p>
        </w:tc>
        <w:tc>
          <w:tcPr>
            <w:tcW w:w="1230" w:type="pct"/>
            <w:gridSpan w:val="2"/>
            <w:tcBorders>
              <w:top w:val="nil"/>
              <w:left w:val="nil"/>
              <w:bottom w:val="nil"/>
              <w:right w:val="nil"/>
            </w:tcBorders>
            <w:vAlign w:val="center"/>
          </w:tcPr>
          <w:p>
            <w:pPr>
              <w:widowControl/>
              <w:spacing w:line="240" w:lineRule="auto"/>
              <w:jc w:val="left"/>
              <w:rPr>
                <w:rFonts w:ascii="宋体" w:hAnsi="宋体" w:cs="宋体"/>
                <w:color w:val="000000"/>
                <w:kern w:val="0"/>
                <w:szCs w:val="24"/>
              </w:rPr>
            </w:pPr>
          </w:p>
        </w:tc>
        <w:tc>
          <w:tcPr>
            <w:tcW w:w="484" w:type="pct"/>
            <w:tcBorders>
              <w:top w:val="nil"/>
              <w:left w:val="nil"/>
              <w:bottom w:val="nil"/>
              <w:right w:val="single" w:color="auto" w:sz="4" w:space="0"/>
            </w:tcBorders>
            <w:vAlign w:val="center"/>
          </w:tcPr>
          <w:p>
            <w:pPr>
              <w:widowControl/>
              <w:spacing w:line="240" w:lineRule="auto"/>
              <w:jc w:val="left"/>
              <w:rPr>
                <w:rFonts w:ascii="宋体" w:hAnsi="宋体" w:cs="宋体"/>
                <w:color w:val="000000"/>
                <w:kern w:val="0"/>
                <w:szCs w:val="24"/>
              </w:rPr>
            </w:pPr>
          </w:p>
        </w:tc>
      </w:tr>
      <w:tr>
        <w:tblPrEx>
          <w:tblCellMar>
            <w:top w:w="0" w:type="dxa"/>
            <w:left w:w="108" w:type="dxa"/>
            <w:bottom w:w="0" w:type="dxa"/>
            <w:right w:w="108" w:type="dxa"/>
          </w:tblCellMar>
        </w:tblPrEx>
        <w:trPr>
          <w:trHeight w:val="390" w:hRule="atLeast"/>
        </w:trPr>
        <w:tc>
          <w:tcPr>
            <w:tcW w:w="1291" w:type="pct"/>
            <w:gridSpan w:val="2"/>
            <w:tcBorders>
              <w:top w:val="single" w:color="auto" w:sz="4" w:space="0"/>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钢牛腿提供</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Steel bracket to provide</w:t>
            </w:r>
          </w:p>
        </w:tc>
        <w:tc>
          <w:tcPr>
            <w:tcW w:w="3709" w:type="pct"/>
            <w:gridSpan w:val="5"/>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卖方提供</w:t>
            </w:r>
          </w:p>
          <w:p>
            <w:pPr>
              <w:widowControl/>
              <w:spacing w:line="240" w:lineRule="auto"/>
              <w:jc w:val="left"/>
              <w:rPr>
                <w:rFonts w:ascii="宋体" w:hAnsi="宋体" w:cs="宋体"/>
                <w:color w:val="000000"/>
                <w:kern w:val="0"/>
                <w:szCs w:val="24"/>
              </w:rPr>
            </w:pPr>
            <w:r>
              <w:rPr>
                <w:rFonts w:ascii="宋体" w:hAnsi="宋体" w:cs="宋体"/>
                <w:color w:val="000000"/>
                <w:kern w:val="0"/>
                <w:szCs w:val="24"/>
              </w:rPr>
              <w:t>The seller to provide</w:t>
            </w:r>
          </w:p>
        </w:tc>
      </w:tr>
      <w:tr>
        <w:tblPrEx>
          <w:tblCellMar>
            <w:top w:w="0" w:type="dxa"/>
            <w:left w:w="108" w:type="dxa"/>
            <w:bottom w:w="0" w:type="dxa"/>
            <w:right w:w="108" w:type="dxa"/>
          </w:tblCellMar>
        </w:tblPrEx>
        <w:trPr>
          <w:trHeight w:val="390" w:hRule="atLeast"/>
        </w:trPr>
        <w:tc>
          <w:tcPr>
            <w:tcW w:w="1291" w:type="pct"/>
            <w:gridSpan w:val="2"/>
            <w:tcBorders>
              <w:top w:val="nil"/>
              <w:left w:val="single" w:color="auto" w:sz="4" w:space="0"/>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r>
              <w:rPr>
                <w:rFonts w:hint="eastAsia" w:ascii="宋体" w:hAnsi="宋体" w:cs="宋体"/>
                <w:color w:val="000000"/>
                <w:kern w:val="0"/>
                <w:szCs w:val="24"/>
              </w:rPr>
              <w:t>其他配置</w:t>
            </w:r>
          </w:p>
          <w:p>
            <w:pPr>
              <w:spacing w:line="240" w:lineRule="auto"/>
              <w:jc w:val="left"/>
              <w:rPr>
                <w:rFonts w:ascii="宋体" w:hAnsi="宋体" w:cs="宋体"/>
                <w:color w:val="000000"/>
                <w:szCs w:val="24"/>
              </w:rPr>
            </w:pPr>
            <w:r>
              <w:rPr>
                <w:rFonts w:hint="eastAsia" w:ascii="宋体" w:hAnsi="宋体"/>
                <w:color w:val="000000"/>
                <w:szCs w:val="24"/>
              </w:rPr>
              <w:t>Other configuration</w:t>
            </w:r>
          </w:p>
          <w:p>
            <w:pPr>
              <w:widowControl/>
              <w:spacing w:line="240" w:lineRule="auto"/>
              <w:jc w:val="left"/>
              <w:rPr>
                <w:rFonts w:ascii="宋体" w:hAnsi="宋体" w:cs="宋体"/>
                <w:color w:val="000000"/>
                <w:kern w:val="0"/>
                <w:szCs w:val="24"/>
              </w:rPr>
            </w:pPr>
          </w:p>
        </w:tc>
        <w:tc>
          <w:tcPr>
            <w:tcW w:w="3709" w:type="pct"/>
            <w:gridSpan w:val="5"/>
            <w:tcBorders>
              <w:top w:val="single" w:color="auto" w:sz="4" w:space="0"/>
              <w:left w:val="nil"/>
              <w:bottom w:val="single" w:color="auto" w:sz="4" w:space="0"/>
              <w:right w:val="single" w:color="auto" w:sz="4" w:space="0"/>
            </w:tcBorders>
            <w:vAlign w:val="center"/>
          </w:tcPr>
          <w:p>
            <w:pPr>
              <w:widowControl/>
              <w:spacing w:line="240" w:lineRule="auto"/>
              <w:jc w:val="left"/>
              <w:rPr>
                <w:rFonts w:ascii="宋体" w:hAnsi="宋体" w:cs="宋体"/>
                <w:color w:val="000000"/>
                <w:kern w:val="0"/>
                <w:szCs w:val="24"/>
              </w:rPr>
            </w:pPr>
          </w:p>
        </w:tc>
      </w:tr>
    </w:tbl>
    <w:p>
      <w:pPr>
        <w:spacing w:line="520" w:lineRule="exact"/>
        <w:rPr>
          <w:rFonts w:ascii="方正楷体简体" w:eastAsia="方正楷体简体"/>
        </w:rPr>
      </w:pPr>
    </w:p>
    <w:p>
      <w:pPr>
        <w:widowControl/>
        <w:adjustRightInd/>
        <w:snapToGrid/>
        <w:spacing w:line="240" w:lineRule="auto"/>
        <w:jc w:val="left"/>
        <w:rPr>
          <w:rFonts w:ascii="方正楷体简体" w:eastAsia="方正楷体简体"/>
        </w:rPr>
      </w:pPr>
      <w:r>
        <w:rPr>
          <w:rFonts w:ascii="方正楷体简体" w:eastAsia="方正楷体简体"/>
        </w:rPr>
        <w:br w:type="page"/>
      </w:r>
    </w:p>
    <w:p>
      <w:pPr>
        <w:pStyle w:val="2"/>
      </w:pPr>
      <w:bookmarkStart w:id="13" w:name="_Toc120891607"/>
      <w:r>
        <w:rPr>
          <w:rFonts w:hint="eastAsia"/>
        </w:rPr>
        <w:t>售后服务承诺及维保服务</w:t>
      </w:r>
      <w:bookmarkEnd w:id="13"/>
    </w:p>
    <w:p>
      <w:pPr>
        <w:pStyle w:val="3"/>
      </w:pPr>
      <w:bookmarkStart w:id="14" w:name="_Toc120891608"/>
      <w:r>
        <w:t>我们的维保标准</w:t>
      </w:r>
      <w:bookmarkEnd w:id="14"/>
    </w:p>
    <w:p>
      <w:pPr>
        <w:widowControl/>
        <w:numPr>
          <w:ilvl w:val="0"/>
          <w:numId w:val="10"/>
        </w:numPr>
        <w:adjustRightInd/>
        <w:snapToGrid/>
        <w:ind w:left="480" w:leftChars="200" w:right="-28" w:firstLine="900"/>
        <w:jc w:val="left"/>
        <w:rPr>
          <w:rFonts w:ascii="宋体" w:hAnsi="宋体"/>
          <w:szCs w:val="24"/>
        </w:rPr>
      </w:pPr>
      <w:r>
        <w:rPr>
          <w:rFonts w:ascii="宋体" w:hAnsi="宋体"/>
          <w:szCs w:val="24"/>
        </w:rPr>
        <w:t>安全</w:t>
      </w:r>
    </w:p>
    <w:p>
      <w:pPr>
        <w:widowControl/>
        <w:numPr>
          <w:ilvl w:val="0"/>
          <w:numId w:val="10"/>
        </w:numPr>
        <w:adjustRightInd/>
        <w:snapToGrid/>
        <w:ind w:left="480" w:leftChars="200" w:right="-28" w:firstLine="900"/>
        <w:jc w:val="left"/>
        <w:rPr>
          <w:rFonts w:ascii="宋体" w:hAnsi="宋体"/>
          <w:szCs w:val="24"/>
        </w:rPr>
      </w:pPr>
      <w:r>
        <w:rPr>
          <w:rFonts w:ascii="宋体" w:hAnsi="宋体"/>
          <w:szCs w:val="24"/>
        </w:rPr>
        <w:t>客户至上</w:t>
      </w:r>
    </w:p>
    <w:p>
      <w:pPr>
        <w:widowControl/>
        <w:numPr>
          <w:ilvl w:val="0"/>
          <w:numId w:val="10"/>
        </w:numPr>
        <w:adjustRightInd/>
        <w:snapToGrid/>
        <w:ind w:left="480" w:leftChars="200" w:right="-28" w:firstLine="900"/>
        <w:jc w:val="left"/>
        <w:rPr>
          <w:rFonts w:ascii="宋体" w:hAnsi="宋体"/>
          <w:szCs w:val="24"/>
        </w:rPr>
      </w:pPr>
      <w:r>
        <w:rPr>
          <w:rFonts w:ascii="宋体" w:hAnsi="宋体"/>
          <w:szCs w:val="24"/>
        </w:rPr>
        <w:t>功能正确</w:t>
      </w:r>
    </w:p>
    <w:p>
      <w:pPr>
        <w:widowControl/>
        <w:numPr>
          <w:ilvl w:val="0"/>
          <w:numId w:val="10"/>
        </w:numPr>
        <w:adjustRightInd/>
        <w:snapToGrid/>
        <w:ind w:left="480" w:leftChars="200" w:right="-28" w:firstLine="900"/>
        <w:jc w:val="left"/>
        <w:rPr>
          <w:rFonts w:hAnsi="宋体" w:cs="Arial"/>
          <w:szCs w:val="24"/>
        </w:rPr>
      </w:pPr>
      <w:r>
        <w:rPr>
          <w:rFonts w:ascii="宋体" w:hAnsi="宋体"/>
          <w:szCs w:val="24"/>
        </w:rPr>
        <w:t>专业服务</w:t>
      </w:r>
    </w:p>
    <w:p>
      <w:pPr>
        <w:pStyle w:val="10"/>
        <w:spacing w:line="360" w:lineRule="auto"/>
        <w:ind w:right="-29" w:firstLine="960" w:firstLineChars="400"/>
        <w:rPr>
          <w:rFonts w:hAnsi="宋体"/>
          <w:sz w:val="24"/>
          <w:lang w:eastAsia="zh-CN"/>
        </w:rPr>
      </w:pPr>
      <w:r>
        <w:rPr>
          <w:rFonts w:hint="eastAsia" w:hAnsi="宋体"/>
          <w:sz w:val="24"/>
          <w:lang w:eastAsia="zh-CN"/>
        </w:rPr>
        <w:t>富士</w:t>
      </w:r>
      <w:r>
        <w:rPr>
          <w:rFonts w:hAnsi="宋体"/>
          <w:sz w:val="24"/>
          <w:lang w:eastAsia="zh-CN"/>
        </w:rPr>
        <w:t>推行以绩效为目标的保养理念，根据以上4项维保标淮，制订了一套“绩效保养”系统。我们不以保养的频率或次数作为依据，而专注於设备的表现上。</w:t>
      </w:r>
      <w:r>
        <w:rPr>
          <w:rFonts w:hint="eastAsia" w:hAnsi="宋体"/>
          <w:sz w:val="24"/>
          <w:lang w:eastAsia="zh-CN"/>
        </w:rPr>
        <w:t>富士</w:t>
      </w:r>
      <w:r>
        <w:rPr>
          <w:rFonts w:hAnsi="宋体"/>
          <w:sz w:val="24"/>
          <w:lang w:eastAsia="zh-CN"/>
        </w:rPr>
        <w:t>承诺所保养的设备“运转率”可达99%以上，让客户最大程度的享受</w:t>
      </w:r>
      <w:r>
        <w:rPr>
          <w:rFonts w:hint="eastAsia" w:hAnsi="宋体"/>
          <w:sz w:val="24"/>
          <w:lang w:eastAsia="zh-CN"/>
        </w:rPr>
        <w:t>富士</w:t>
      </w:r>
      <w:r>
        <w:rPr>
          <w:rFonts w:hAnsi="宋体"/>
          <w:sz w:val="24"/>
          <w:lang w:eastAsia="zh-CN"/>
        </w:rPr>
        <w:t>产品所带来的便捷服务。为实现</w:t>
      </w:r>
      <w:r>
        <w:rPr>
          <w:rFonts w:hint="eastAsia" w:hAnsi="宋体"/>
          <w:sz w:val="24"/>
          <w:lang w:eastAsia="zh-CN"/>
        </w:rPr>
        <w:t>富士</w:t>
      </w:r>
      <w:r>
        <w:rPr>
          <w:rFonts w:hAnsi="宋体"/>
          <w:sz w:val="24"/>
          <w:lang w:eastAsia="zh-CN"/>
        </w:rPr>
        <w:t>的承诺，我们除了大量投入在人员培训外，更在各分公司设有备件仓库，加上</w:t>
      </w:r>
      <w:r>
        <w:rPr>
          <w:rFonts w:hint="eastAsia" w:hAnsi="宋体"/>
          <w:sz w:val="24"/>
          <w:lang w:eastAsia="zh-CN"/>
        </w:rPr>
        <w:t>富士电梯制造</w:t>
      </w:r>
      <w:r>
        <w:rPr>
          <w:rFonts w:hAnsi="宋体"/>
          <w:sz w:val="24"/>
          <w:lang w:eastAsia="zh-CN"/>
        </w:rPr>
        <w:t>公司总部的大型备件供应中心，全年365天为客户提供所需备件。</w:t>
      </w:r>
    </w:p>
    <w:p>
      <w:pPr>
        <w:ind w:firstLine="480" w:firstLineChars="200"/>
        <w:rPr>
          <w:rFonts w:ascii="宋体" w:hAnsi="宋体" w:cs="Arial"/>
          <w:szCs w:val="24"/>
        </w:rPr>
      </w:pPr>
      <w:r>
        <w:rPr>
          <w:rFonts w:ascii="宋体" w:hAnsi="宋体" w:cs="Arial"/>
          <w:szCs w:val="24"/>
        </w:rPr>
        <w:t>7</w:t>
      </w:r>
      <w:r>
        <w:rPr>
          <w:rFonts w:hint="eastAsia" w:ascii="宋体" w:hAnsi="宋体" w:cs="Arial"/>
          <w:szCs w:val="24"/>
        </w:rPr>
        <w:t>×</w:t>
      </w:r>
      <w:r>
        <w:rPr>
          <w:rFonts w:ascii="宋体" w:hAnsi="宋体" w:cs="Arial"/>
          <w:szCs w:val="24"/>
        </w:rPr>
        <w:t>24</w:t>
      </w:r>
      <w:r>
        <w:rPr>
          <w:rFonts w:hint="eastAsia" w:ascii="宋体" w:hAnsi="宋体" w:cs="Arial"/>
          <w:szCs w:val="24"/>
        </w:rPr>
        <w:t>小时响应模式是为保证客户设备系统正常运作而特设的一种响应模式，该种响应模式将人工热线由</w:t>
      </w:r>
      <w:r>
        <w:rPr>
          <w:rFonts w:ascii="宋体" w:hAnsi="宋体" w:cs="Arial"/>
          <w:szCs w:val="24"/>
        </w:rPr>
        <w:t>5</w:t>
      </w:r>
      <w:r>
        <w:rPr>
          <w:rFonts w:hint="eastAsia" w:ascii="宋体" w:hAnsi="宋体" w:cs="Arial"/>
          <w:szCs w:val="24"/>
        </w:rPr>
        <w:t>×</w:t>
      </w:r>
      <w:r>
        <w:rPr>
          <w:rFonts w:ascii="宋体" w:hAnsi="宋体" w:cs="Arial"/>
          <w:szCs w:val="24"/>
        </w:rPr>
        <w:t>8</w:t>
      </w:r>
      <w:r>
        <w:rPr>
          <w:rFonts w:hint="eastAsia" w:ascii="宋体" w:hAnsi="宋体" w:cs="Arial"/>
          <w:szCs w:val="24"/>
        </w:rPr>
        <w:t>延长到</w:t>
      </w:r>
      <w:r>
        <w:rPr>
          <w:rFonts w:ascii="宋体" w:hAnsi="宋体" w:cs="Arial"/>
          <w:szCs w:val="24"/>
        </w:rPr>
        <w:t>7</w:t>
      </w:r>
      <w:r>
        <w:rPr>
          <w:rFonts w:hint="eastAsia" w:ascii="宋体" w:hAnsi="宋体" w:cs="Arial"/>
          <w:szCs w:val="24"/>
        </w:rPr>
        <w:t>×</w:t>
      </w:r>
      <w:r>
        <w:rPr>
          <w:rFonts w:ascii="宋体" w:hAnsi="宋体" w:cs="Arial"/>
          <w:szCs w:val="24"/>
        </w:rPr>
        <w:t>24</w:t>
      </w:r>
      <w:r>
        <w:rPr>
          <w:rFonts w:hint="eastAsia" w:ascii="宋体" w:hAnsi="宋体" w:cs="Arial"/>
          <w:szCs w:val="24"/>
        </w:rPr>
        <w:t>，仍然采取资深工程师值班的方式，使客户随时随地获得信息和帮助，充足的后续资源可保证在及时响应的同时，在第一时间内赶到客户现场。</w:t>
      </w:r>
      <w:r>
        <w:rPr>
          <w:rFonts w:ascii="宋体" w:hAnsi="宋体" w:cs="Arial"/>
          <w:szCs w:val="24"/>
        </w:rPr>
        <w:t>7</w:t>
      </w:r>
      <w:r>
        <w:rPr>
          <w:rFonts w:hint="eastAsia" w:ascii="宋体" w:hAnsi="宋体" w:cs="Arial"/>
          <w:szCs w:val="24"/>
        </w:rPr>
        <w:t>×</w:t>
      </w:r>
      <w:r>
        <w:rPr>
          <w:rFonts w:ascii="宋体" w:hAnsi="宋体" w:cs="Arial"/>
          <w:szCs w:val="24"/>
        </w:rPr>
        <w:t>24</w:t>
      </w:r>
      <w:r>
        <w:rPr>
          <w:rFonts w:hint="eastAsia" w:ascii="宋体" w:hAnsi="宋体" w:cs="Arial"/>
          <w:szCs w:val="24"/>
        </w:rPr>
        <w:t>小时响应模式如图所示。</w:t>
      </w:r>
    </w:p>
    <w:p>
      <w:pPr>
        <w:widowControl/>
        <w:adjustRightInd/>
        <w:snapToGrid/>
        <w:spacing w:line="240" w:lineRule="auto"/>
        <w:jc w:val="left"/>
        <w:rPr>
          <w:rFonts w:ascii="宋体" w:hAnsi="宋体" w:cs="Times New Roman"/>
          <w:color w:val="000000"/>
          <w:kern w:val="0"/>
          <w:szCs w:val="24"/>
        </w:rPr>
      </w:pPr>
      <w:r>
        <w:rPr>
          <w:rFonts w:ascii="宋体" w:hAnsi="Tahoma" w:cs="黑体"/>
          <w:b/>
          <w:szCs w:val="24"/>
        </w:rPr>
        <w:drawing>
          <wp:inline distT="0" distB="0" distL="0" distR="0">
            <wp:extent cx="5435600" cy="3315335"/>
            <wp:effectExtent l="0" t="0" r="0" b="0"/>
            <wp:docPr id="50" name="图片 50" descr="图片包含 人,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图片包含 人, 男人&#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487511" cy="3347624"/>
                    </a:xfrm>
                    <a:prstGeom prst="rect">
                      <a:avLst/>
                    </a:prstGeom>
                    <a:noFill/>
                    <a:ln>
                      <a:noFill/>
                    </a:ln>
                  </pic:spPr>
                </pic:pic>
              </a:graphicData>
            </a:graphic>
          </wp:inline>
        </w:drawing>
      </w:r>
      <w:r>
        <w:rPr>
          <w:rFonts w:hAnsi="宋体"/>
        </w:rPr>
        <w:br w:type="page"/>
      </w:r>
    </w:p>
    <w:p>
      <w:pPr>
        <w:pStyle w:val="10"/>
        <w:spacing w:line="360" w:lineRule="auto"/>
        <w:ind w:left="480" w:leftChars="200" w:right="-28" w:firstLine="539"/>
        <w:rPr>
          <w:rFonts w:hAnsi="宋体" w:cs="Arial"/>
          <w:sz w:val="24"/>
          <w:lang w:eastAsia="zh-CN"/>
        </w:rPr>
      </w:pPr>
      <w:r>
        <w:rPr>
          <w:rFonts w:hAnsi="宋体"/>
          <w:sz w:val="24"/>
          <w:lang w:eastAsia="zh-CN"/>
        </w:rPr>
        <w:t>下图为</w:t>
      </w:r>
      <w:r>
        <w:rPr>
          <w:rFonts w:hint="eastAsia" w:hAnsi="宋体"/>
          <w:sz w:val="24"/>
          <w:lang w:eastAsia="zh-CN"/>
        </w:rPr>
        <w:t>富士电梯制造（惠州）</w:t>
      </w:r>
      <w:r>
        <w:rPr>
          <w:rFonts w:hAnsi="宋体"/>
          <w:sz w:val="24"/>
          <w:lang w:eastAsia="zh-CN"/>
        </w:rPr>
        <w:t>有限公司各分公司的维保部门组织架构；</w:t>
      </w:r>
      <w:r>
        <w:rPr>
          <w:rFonts w:hint="eastAsia" w:hAnsi="宋体"/>
          <w:sz w:val="24"/>
          <w:lang w:eastAsia="zh-CN"/>
        </w:rPr>
        <w:t>富士电梯制造（惠州）有限</w:t>
      </w:r>
      <w:r>
        <w:rPr>
          <w:rFonts w:hAnsi="宋体"/>
          <w:sz w:val="24"/>
          <w:lang w:eastAsia="zh-CN"/>
        </w:rPr>
        <w:t>公司将根据客户的要求及实际情况作出合适的人员组织计划作为维保计划的一部分：</w:t>
      </w:r>
    </w:p>
    <w:p>
      <w:pPr>
        <w:widowControl/>
        <w:adjustRightInd/>
        <w:snapToGrid/>
        <w:spacing w:line="240" w:lineRule="auto"/>
        <w:jc w:val="left"/>
        <w:rPr>
          <w:rFonts w:hAnsi="宋体"/>
          <w:b/>
          <w:sz w:val="28"/>
          <w:szCs w:val="28"/>
        </w:rPr>
      </w:pPr>
      <w:r>
        <w:rPr>
          <w:rFonts w:hAnsi="宋体" w:cs="Arial"/>
          <w:sz w:val="18"/>
          <w:szCs w:val="18"/>
        </w:rPr>
        <w:pict>
          <v:shape id="Picture 4" o:spid="_x0000_s2050" o:spt="75" type="#_x0000_t75" style="position:absolute;left:0pt;margin-left:61.1pt;margin-top:263.6pt;height:248.55pt;width:471.65pt;mso-position-horizontal-relative:page;mso-position-vertical-relative:page;z-index:-251621376;mso-width-relative:page;mso-height-relative:page;" o:ole="t" filled="f" o:preferrelative="t" stroked="f" coordsize="21600,21600">
            <v:path/>
            <v:fill on="f" focussize="0,0"/>
            <v:stroke on="f" joinstyle="miter"/>
            <v:imagedata r:id="rId21" o:title=""/>
            <o:lock v:ext="edit" aspectratio="t"/>
          </v:shape>
          <o:OLEObject Type="Embed" ProgID="OrgPlusWOPX.4" ShapeID="Picture 4" DrawAspect="Content" ObjectID="_1468075725" r:id="rId20">
            <o:LockedField>false</o:LockedField>
          </o:OLEObject>
        </w:pict>
      </w:r>
      <w:r>
        <w:rPr>
          <w:rFonts w:hAnsi="宋体"/>
          <w:b/>
          <w:sz w:val="28"/>
          <w:szCs w:val="28"/>
        </w:rPr>
        <w:br w:type="page"/>
      </w:r>
    </w:p>
    <w:p>
      <w:pPr>
        <w:pStyle w:val="7"/>
        <w:rPr>
          <w:rFonts w:ascii="宋体" w:cs="Times New Roman"/>
          <w:color w:val="000000"/>
          <w:kern w:val="0"/>
        </w:rPr>
      </w:pPr>
      <w:r>
        <w:rPr>
          <w:rFonts w:hint="eastAsia"/>
        </w:rPr>
        <w:t>现场维修流程图</w:t>
      </w:r>
      <w:r>
        <w:rPr>
          <w:rFonts w:ascii="宋体" w:cs="黑体"/>
          <w:kern w:val="0"/>
        </w:rPr>
        <w:drawing>
          <wp:anchor distT="0" distB="0" distL="114300" distR="114300" simplePos="0" relativeHeight="251685888" behindDoc="1" locked="0" layoutInCell="1" allowOverlap="1">
            <wp:simplePos x="0" y="0"/>
            <wp:positionH relativeFrom="column">
              <wp:posOffset>162560</wp:posOffset>
            </wp:positionH>
            <wp:positionV relativeFrom="paragraph">
              <wp:posOffset>413385</wp:posOffset>
            </wp:positionV>
            <wp:extent cx="4927600" cy="7335520"/>
            <wp:effectExtent l="0" t="0" r="6350" b="0"/>
            <wp:wrapNone/>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927832" cy="7335272"/>
                    </a:xfrm>
                    <a:prstGeom prst="rect">
                      <a:avLst/>
                    </a:prstGeom>
                    <a:noFill/>
                    <a:ln>
                      <a:noFill/>
                    </a:ln>
                  </pic:spPr>
                </pic:pic>
              </a:graphicData>
            </a:graphic>
          </wp:anchor>
        </w:drawing>
      </w:r>
      <w:r>
        <w:br w:type="page"/>
      </w:r>
    </w:p>
    <w:p>
      <w:pPr>
        <w:pStyle w:val="7"/>
        <w:rPr>
          <w:sz w:val="36"/>
          <w:szCs w:val="32"/>
        </w:rPr>
      </w:pPr>
      <w:r>
        <w:rPr>
          <w:rFonts w:hint="eastAsia"/>
        </w:rPr>
        <w:t>远程服务维修流程图</w:t>
      </w:r>
      <w:r>
        <w:rPr>
          <w:rFonts w:ascii="宋体" w:hAnsi="宋体" w:cs="黑体"/>
          <w:kern w:val="0"/>
        </w:rPr>
        <w:drawing>
          <wp:anchor distT="0" distB="0" distL="114300" distR="114300" simplePos="0" relativeHeight="251686912" behindDoc="1" locked="0" layoutInCell="1" allowOverlap="1">
            <wp:simplePos x="0" y="0"/>
            <wp:positionH relativeFrom="column">
              <wp:posOffset>918210</wp:posOffset>
            </wp:positionH>
            <wp:positionV relativeFrom="paragraph">
              <wp:posOffset>670560</wp:posOffset>
            </wp:positionV>
            <wp:extent cx="2653665" cy="6142355"/>
            <wp:effectExtent l="0" t="0" r="0" b="0"/>
            <wp:wrapNone/>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653665" cy="6142355"/>
                    </a:xfrm>
                    <a:prstGeom prst="rect">
                      <a:avLst/>
                    </a:prstGeom>
                    <a:noFill/>
                    <a:ln>
                      <a:noFill/>
                    </a:ln>
                  </pic:spPr>
                </pic:pic>
              </a:graphicData>
            </a:graphic>
          </wp:anchor>
        </w:drawing>
      </w:r>
      <w:r>
        <w:br w:type="page"/>
      </w:r>
    </w:p>
    <w:p>
      <w:pPr>
        <w:pStyle w:val="3"/>
      </w:pPr>
      <w:bookmarkStart w:id="15" w:name="_Toc120891609"/>
      <w:r>
        <w:t>维保服务计划</w:t>
      </w:r>
      <w:bookmarkEnd w:id="15"/>
    </w:p>
    <w:p>
      <w:pPr>
        <w:pStyle w:val="10"/>
        <w:spacing w:line="360" w:lineRule="auto"/>
        <w:ind w:left="480" w:leftChars="200" w:right="-29" w:firstLine="539"/>
        <w:rPr>
          <w:rFonts w:hAnsi="宋体"/>
          <w:sz w:val="24"/>
          <w:lang w:eastAsia="zh-CN"/>
        </w:rPr>
      </w:pPr>
      <w:r>
        <w:rPr>
          <w:rFonts w:hAnsi="宋体"/>
          <w:sz w:val="24"/>
          <w:lang w:eastAsia="zh-CN"/>
        </w:rPr>
        <w:t>现</w:t>
      </w:r>
      <w:r>
        <w:rPr>
          <w:rFonts w:hint="eastAsia" w:hAnsi="宋体"/>
          <w:sz w:val="24"/>
          <w:lang w:eastAsia="zh-CN"/>
        </w:rPr>
        <w:t>富士电梯制造（惠州）</w:t>
      </w:r>
      <w:r>
        <w:rPr>
          <w:rFonts w:hAnsi="宋体"/>
          <w:sz w:val="24"/>
          <w:lang w:eastAsia="zh-CN"/>
        </w:rPr>
        <w:t>有限公司对所有电梯/自动扶梯实行绩效保养(或</w:t>
      </w:r>
      <w:r>
        <w:rPr>
          <w:rFonts w:hint="eastAsia" w:hAnsi="宋体"/>
          <w:sz w:val="24"/>
          <w:lang w:eastAsia="zh-CN"/>
        </w:rPr>
        <w:t>铃木</w:t>
      </w:r>
      <w:r>
        <w:rPr>
          <w:rFonts w:hAnsi="宋体"/>
          <w:sz w:val="24"/>
          <w:lang w:eastAsia="zh-CN"/>
        </w:rPr>
        <w:t>当前全球性保养性系统)。主要目的是通过有目标、有计划、有针对性的保养，把电梯/自动扶梯可能发生的故障消除在萌芽状态，把电梯/自动扶梯故障率控制在限定的目标内。根据电梯/自动扶梯的使用率，制订保养计划。按编排计划定时检查其整体运行质量，并依照</w:t>
      </w:r>
      <w:r>
        <w:rPr>
          <w:rFonts w:hint="eastAsia" w:hAnsi="宋体"/>
          <w:sz w:val="24"/>
          <w:lang w:eastAsia="zh-CN"/>
        </w:rPr>
        <w:t>富士电梯制造（惠州）</w:t>
      </w:r>
      <w:r>
        <w:rPr>
          <w:rFonts w:hAnsi="宋体"/>
          <w:sz w:val="24"/>
          <w:lang w:eastAsia="zh-CN"/>
        </w:rPr>
        <w:t>有限公司全球的保养标准对电梯/自动扶梯进行保养。具体内容如下：</w:t>
      </w:r>
    </w:p>
    <w:p>
      <w:pPr>
        <w:ind w:left="480" w:leftChars="200" w:right="-117"/>
        <w:rPr>
          <w:rFonts w:ascii="宋体" w:hAnsi="宋体"/>
          <w:szCs w:val="24"/>
        </w:rPr>
      </w:pPr>
      <w:r>
        <w:rPr>
          <w:rFonts w:ascii="宋体" w:hAnsi="宋体"/>
          <w:szCs w:val="24"/>
        </w:rPr>
        <w:t>2.1 例行检查</w:t>
      </w:r>
    </w:p>
    <w:p>
      <w:pPr>
        <w:pStyle w:val="10"/>
        <w:spacing w:line="360" w:lineRule="auto"/>
        <w:ind w:left="480" w:leftChars="200" w:right="-29" w:firstLine="539"/>
        <w:rPr>
          <w:rFonts w:hAnsi="宋体"/>
          <w:sz w:val="24"/>
          <w:lang w:eastAsia="zh-CN"/>
        </w:rPr>
      </w:pPr>
      <w:r>
        <w:rPr>
          <w:rFonts w:hAnsi="宋体"/>
          <w:sz w:val="24"/>
          <w:lang w:eastAsia="zh-CN"/>
        </w:rPr>
        <w:t>例行检查的目的主要是提供预防性的保养工作，最大程度地减少电梯/自动扶梯因</w:t>
      </w:r>
    </w:p>
    <w:p>
      <w:pPr>
        <w:pStyle w:val="10"/>
        <w:spacing w:line="360" w:lineRule="auto"/>
        <w:ind w:left="480" w:leftChars="200" w:right="-29" w:firstLine="539"/>
        <w:rPr>
          <w:rFonts w:hAnsi="宋体"/>
          <w:sz w:val="24"/>
          <w:lang w:eastAsia="zh-CN"/>
        </w:rPr>
      </w:pPr>
      <w:r>
        <w:rPr>
          <w:rFonts w:hAnsi="宋体"/>
          <w:sz w:val="24"/>
          <w:lang w:eastAsia="zh-CN"/>
        </w:rPr>
        <w:t>运行失误而造成的故障。</w:t>
      </w:r>
      <w:r>
        <w:rPr>
          <w:rFonts w:hint="eastAsia" w:hAnsi="宋体"/>
          <w:sz w:val="24"/>
          <w:lang w:eastAsia="zh-CN"/>
        </w:rPr>
        <w:t>铃木</w:t>
      </w:r>
      <w:r>
        <w:rPr>
          <w:rFonts w:hAnsi="宋体"/>
          <w:sz w:val="24"/>
          <w:lang w:eastAsia="zh-CN"/>
        </w:rPr>
        <w:t>电梯有限公司的保养技工将对电梯/自动扶梯的运动部件进行基本的日常维护、清洁工作。</w:t>
      </w:r>
    </w:p>
    <w:p>
      <w:pPr>
        <w:pStyle w:val="10"/>
        <w:spacing w:line="360" w:lineRule="auto"/>
        <w:ind w:left="480" w:leftChars="200" w:right="-29" w:firstLine="539"/>
        <w:rPr>
          <w:rFonts w:hAnsi="宋体" w:cs="Arial"/>
          <w:sz w:val="24"/>
          <w:lang w:eastAsia="zh-CN"/>
        </w:rPr>
      </w:pPr>
      <w:r>
        <w:rPr>
          <w:rFonts w:hAnsi="宋体"/>
          <w:sz w:val="24"/>
          <w:lang w:eastAsia="zh-CN"/>
        </w:rPr>
        <w:t>所附下表为例行检查的工作内容安排。</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自动扶梯：</w:t>
      </w:r>
    </w:p>
    <w:p>
      <w:pPr>
        <w:pStyle w:val="10"/>
        <w:spacing w:line="360" w:lineRule="auto"/>
        <w:ind w:left="480" w:leftChars="200" w:right="-29" w:firstLine="539"/>
        <w:rPr>
          <w:rFonts w:hAnsi="宋体"/>
          <w:sz w:val="24"/>
          <w:lang w:eastAsia="zh-CN"/>
        </w:rPr>
      </w:pPr>
      <w:r>
        <w:rPr>
          <w:rFonts w:hAnsi="宋体"/>
          <w:sz w:val="24"/>
          <w:lang w:eastAsia="zh-CN"/>
        </w:rPr>
        <w:t>1、外观及运行状况检查(安全标志、玻璃、栏杆、运行异响）</w:t>
      </w:r>
    </w:p>
    <w:p>
      <w:pPr>
        <w:pStyle w:val="10"/>
        <w:spacing w:line="360" w:lineRule="auto"/>
        <w:ind w:left="480" w:leftChars="200" w:right="-29" w:firstLine="539"/>
        <w:rPr>
          <w:rFonts w:hAnsi="宋体"/>
          <w:sz w:val="24"/>
          <w:lang w:eastAsia="zh-CN"/>
        </w:rPr>
      </w:pPr>
      <w:r>
        <w:rPr>
          <w:rFonts w:hAnsi="宋体"/>
          <w:sz w:val="24"/>
          <w:lang w:eastAsia="zh-CN"/>
        </w:rPr>
        <w:t>2、裙板、梯级、梳齿间隙检查（间隙正确）</w:t>
      </w:r>
    </w:p>
    <w:p>
      <w:pPr>
        <w:pStyle w:val="10"/>
        <w:spacing w:line="360" w:lineRule="auto"/>
        <w:ind w:left="480" w:leftChars="200" w:right="-29" w:firstLine="539"/>
        <w:rPr>
          <w:rFonts w:hAnsi="宋体"/>
          <w:sz w:val="24"/>
          <w:lang w:eastAsia="zh-CN"/>
        </w:rPr>
      </w:pPr>
      <w:r>
        <w:rPr>
          <w:rFonts w:hAnsi="宋体"/>
          <w:sz w:val="24"/>
          <w:lang w:eastAsia="zh-CN"/>
        </w:rPr>
        <w:t>3、外部操作/安全开关检查/清洁（功能正确）</w:t>
      </w:r>
    </w:p>
    <w:p>
      <w:pPr>
        <w:pStyle w:val="10"/>
        <w:spacing w:line="360" w:lineRule="auto"/>
        <w:ind w:left="480" w:leftChars="200" w:right="-29" w:firstLine="539"/>
        <w:rPr>
          <w:rFonts w:hAnsi="宋体"/>
          <w:sz w:val="24"/>
          <w:lang w:eastAsia="zh-CN"/>
        </w:rPr>
      </w:pPr>
      <w:r>
        <w:rPr>
          <w:rFonts w:hAnsi="宋体"/>
          <w:sz w:val="24"/>
          <w:lang w:eastAsia="zh-CN"/>
        </w:rPr>
        <w:t>4、上工作间及安全开关检查/清洁（功能正确）</w:t>
      </w:r>
    </w:p>
    <w:p>
      <w:pPr>
        <w:pStyle w:val="10"/>
        <w:spacing w:line="360" w:lineRule="auto"/>
        <w:ind w:left="480" w:leftChars="200" w:right="-29" w:firstLine="539"/>
        <w:rPr>
          <w:rFonts w:hAnsi="宋体"/>
          <w:sz w:val="24"/>
          <w:lang w:eastAsia="zh-CN"/>
        </w:rPr>
      </w:pPr>
      <w:r>
        <w:rPr>
          <w:rFonts w:hAnsi="宋体"/>
          <w:sz w:val="24"/>
          <w:lang w:eastAsia="zh-CN"/>
        </w:rPr>
        <w:t>5、控制箱检查/清洁（接线、更换、修理）</w:t>
      </w:r>
    </w:p>
    <w:p>
      <w:pPr>
        <w:pStyle w:val="10"/>
        <w:spacing w:line="360" w:lineRule="auto"/>
        <w:ind w:left="480" w:leftChars="200" w:right="-29" w:firstLine="539"/>
        <w:rPr>
          <w:rFonts w:hAnsi="宋体"/>
          <w:sz w:val="24"/>
          <w:lang w:eastAsia="zh-CN"/>
        </w:rPr>
      </w:pPr>
      <w:r>
        <w:rPr>
          <w:rFonts w:hAnsi="宋体"/>
          <w:sz w:val="24"/>
          <w:lang w:eastAsia="zh-CN"/>
        </w:rPr>
        <w:t>6、扶手带、驱动轮张力检查（开关、弹簧、修理）</w:t>
      </w:r>
    </w:p>
    <w:p>
      <w:pPr>
        <w:pStyle w:val="10"/>
        <w:spacing w:line="360" w:lineRule="auto"/>
        <w:ind w:left="480" w:leftChars="200" w:right="-29" w:firstLine="539"/>
        <w:rPr>
          <w:rFonts w:hAnsi="宋体"/>
          <w:sz w:val="24"/>
          <w:lang w:eastAsia="zh-CN"/>
        </w:rPr>
      </w:pPr>
      <w:r>
        <w:rPr>
          <w:rFonts w:hAnsi="宋体"/>
          <w:sz w:val="24"/>
          <w:lang w:eastAsia="zh-CN"/>
        </w:rPr>
        <w:t>7、梯级、主机、抱闸检查/清洁（梯级下陷、急停开关、制停距离）</w:t>
      </w:r>
    </w:p>
    <w:p>
      <w:pPr>
        <w:pStyle w:val="10"/>
        <w:spacing w:line="360" w:lineRule="auto"/>
        <w:ind w:left="480" w:leftChars="200" w:right="-29" w:firstLine="539"/>
        <w:rPr>
          <w:rFonts w:hAnsi="宋体"/>
          <w:sz w:val="24"/>
          <w:lang w:eastAsia="zh-CN"/>
        </w:rPr>
      </w:pPr>
      <w:r>
        <w:rPr>
          <w:rFonts w:hAnsi="宋体"/>
          <w:sz w:val="24"/>
          <w:lang w:eastAsia="zh-CN"/>
        </w:rPr>
        <w:t>8、扶手带检查/清洁（同步、异响、胶粉、导向轮）</w:t>
      </w:r>
    </w:p>
    <w:p>
      <w:pPr>
        <w:pStyle w:val="10"/>
        <w:spacing w:line="360" w:lineRule="auto"/>
        <w:ind w:left="480" w:leftChars="200" w:right="-29" w:firstLine="539"/>
        <w:rPr>
          <w:rFonts w:hAnsi="宋体"/>
          <w:sz w:val="24"/>
          <w:lang w:eastAsia="zh-CN"/>
        </w:rPr>
      </w:pPr>
      <w:r>
        <w:rPr>
          <w:rFonts w:hAnsi="宋体"/>
          <w:sz w:val="24"/>
          <w:lang w:eastAsia="zh-CN"/>
        </w:rPr>
        <w:t>9、下工作间检查/清洁（插座、杂物卫生）</w:t>
      </w:r>
    </w:p>
    <w:p>
      <w:pPr>
        <w:pStyle w:val="10"/>
        <w:spacing w:line="360" w:lineRule="auto"/>
        <w:ind w:left="480" w:leftChars="200" w:right="-29" w:firstLine="539"/>
        <w:rPr>
          <w:rFonts w:hAnsi="宋体"/>
          <w:sz w:val="24"/>
          <w:lang w:eastAsia="zh-CN"/>
        </w:rPr>
      </w:pPr>
      <w:r>
        <w:rPr>
          <w:rFonts w:hAnsi="宋体"/>
          <w:sz w:val="24"/>
          <w:lang w:eastAsia="zh-CN"/>
        </w:rPr>
        <w:t>10、试运行及整体情况检查（上下运行5分钟）</w:t>
      </w:r>
    </w:p>
    <w:p>
      <w:pPr>
        <w:widowControl/>
        <w:numPr>
          <w:ilvl w:val="0"/>
          <w:numId w:val="12"/>
        </w:numPr>
        <w:tabs>
          <w:tab w:val="left" w:pos="180"/>
          <w:tab w:val="clear" w:pos="360"/>
        </w:tabs>
        <w:adjustRightInd/>
        <w:snapToGrid/>
        <w:ind w:left="930" w:leftChars="200" w:right="-117" w:hanging="450"/>
        <w:jc w:val="left"/>
        <w:rPr>
          <w:rFonts w:ascii="宋体" w:hAnsi="宋体"/>
          <w:szCs w:val="24"/>
        </w:rPr>
      </w:pPr>
      <w:r>
        <w:rPr>
          <w:rFonts w:ascii="宋体" w:hAnsi="宋体"/>
          <w:szCs w:val="24"/>
        </w:rPr>
        <w:t>电梯：</w:t>
      </w:r>
    </w:p>
    <w:p>
      <w:pPr>
        <w:pStyle w:val="10"/>
        <w:spacing w:line="360" w:lineRule="auto"/>
        <w:ind w:left="480" w:leftChars="200" w:right="-29" w:firstLine="539"/>
        <w:rPr>
          <w:rFonts w:hAnsi="宋体"/>
          <w:sz w:val="24"/>
          <w:lang w:eastAsia="zh-CN"/>
        </w:rPr>
      </w:pPr>
      <w:r>
        <w:rPr>
          <w:rFonts w:hAnsi="宋体"/>
          <w:sz w:val="24"/>
          <w:lang w:eastAsia="zh-CN"/>
        </w:rPr>
        <w:t>1、首层、轿厢、外厅电梯/自动扶梯（检查功能、更换或修理、平层精度）</w:t>
      </w:r>
    </w:p>
    <w:p>
      <w:pPr>
        <w:pStyle w:val="10"/>
        <w:spacing w:line="360" w:lineRule="auto"/>
        <w:ind w:left="480" w:leftChars="200" w:right="-29" w:firstLine="539"/>
        <w:rPr>
          <w:rFonts w:hAnsi="宋体"/>
          <w:sz w:val="24"/>
          <w:lang w:eastAsia="zh-CN"/>
        </w:rPr>
      </w:pPr>
      <w:r>
        <w:rPr>
          <w:rFonts w:hAnsi="宋体"/>
          <w:sz w:val="24"/>
          <w:lang w:eastAsia="zh-CN"/>
        </w:rPr>
        <w:t>2、运行状况检查（功能正确、舒适感、门速、安全门）</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3、控制屏检查/清洁（轿厢应急灯、接线、急停开关、手动放人）</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4、机房电梯/自动扶梯检查/清洁（手动放人、抱闸、限速器、测速机）</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5、轿顶检查/清洁（检修盒功能、急停、上限开关、油盒、导靴）</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6、轿门检查/清洁（开关功能、门速、门靴、门间隙）</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7、井道检查/清洁（导轨支架、导轨、厅门门头及间隙）</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8、对重检查/清洁（导轨、导靴、油盒、异响）</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9、底坑检查/清洁（张紧轮开关、急停开关、接油盒、缓冲器）</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10、轿底检查/清洁（安全钳、补偿、导靴、称重装置、反绳轮）</w:t>
      </w:r>
    </w:p>
    <w:p>
      <w:pPr>
        <w:widowControl/>
        <w:numPr>
          <w:ilvl w:val="0"/>
          <w:numId w:val="11"/>
        </w:numPr>
        <w:tabs>
          <w:tab w:val="left" w:pos="180"/>
          <w:tab w:val="clear" w:pos="360"/>
        </w:tabs>
        <w:adjustRightInd/>
        <w:snapToGrid/>
        <w:ind w:left="1560" w:leftChars="200" w:right="-117" w:hanging="1080"/>
        <w:jc w:val="left"/>
        <w:rPr>
          <w:rFonts w:ascii="宋体" w:hAnsi="宋体"/>
          <w:szCs w:val="24"/>
        </w:rPr>
      </w:pPr>
      <w:r>
        <w:rPr>
          <w:rFonts w:ascii="宋体" w:hAnsi="宋体"/>
          <w:szCs w:val="24"/>
        </w:rPr>
        <w:t>2.2 紧急修理服务</w:t>
      </w:r>
    </w:p>
    <w:p>
      <w:pPr>
        <w:widowControl/>
        <w:tabs>
          <w:tab w:val="left" w:pos="180"/>
        </w:tabs>
        <w:ind w:left="480" w:leftChars="200" w:right="-117"/>
        <w:jc w:val="left"/>
        <w:rPr>
          <w:rFonts w:hAnsi="宋体" w:cs="Arial"/>
          <w:b/>
          <w:bCs/>
          <w:color w:val="FF0000"/>
          <w:sz w:val="18"/>
          <w:szCs w:val="18"/>
        </w:rPr>
      </w:pPr>
      <w:r>
        <w:rPr>
          <w:rFonts w:hint="eastAsia" w:ascii="宋体" w:hAnsi="宋体"/>
          <w:szCs w:val="24"/>
        </w:rPr>
        <w:t>客服专员</w:t>
      </w:r>
      <w:r>
        <w:rPr>
          <w:rFonts w:ascii="宋体" w:hAnsi="宋体"/>
          <w:szCs w:val="24"/>
        </w:rPr>
        <w:t>主要职责是</w:t>
      </w:r>
      <w:r>
        <w:rPr>
          <w:rFonts w:hint="eastAsia" w:ascii="宋体" w:hAnsi="宋体"/>
          <w:szCs w:val="24"/>
        </w:rPr>
        <w:t>响应</w:t>
      </w:r>
      <w:r>
        <w:rPr>
          <w:rFonts w:ascii="宋体" w:hAnsi="宋体"/>
          <w:szCs w:val="24"/>
        </w:rPr>
        <w:t>所有</w:t>
      </w:r>
      <w:r>
        <w:rPr>
          <w:rFonts w:hint="eastAsia" w:ascii="宋体" w:hAnsi="宋体"/>
          <w:szCs w:val="24"/>
        </w:rPr>
        <w:t>客户来电，相关走修的工作指派，紧急困人电话的处理，110联动等</w:t>
      </w:r>
      <w:r>
        <w:rPr>
          <w:rFonts w:hint="eastAsia"/>
          <w:sz w:val="18"/>
          <w:szCs w:val="18"/>
        </w:rPr>
        <w:t>。</w:t>
      </w:r>
      <w:r>
        <w:rPr>
          <w:rFonts w:hint="eastAsia" w:hAnsi="宋体" w:cs="Arial"/>
          <w:b/>
          <w:bCs/>
          <w:color w:val="FF0000"/>
          <w:sz w:val="18"/>
          <w:szCs w:val="18"/>
        </w:rPr>
        <w:t xml:space="preserve"> </w:t>
      </w:r>
    </w:p>
    <w:p>
      <w:pPr>
        <w:widowControl/>
        <w:adjustRightInd/>
        <w:snapToGrid/>
        <w:spacing w:line="240" w:lineRule="auto"/>
        <w:jc w:val="left"/>
        <w:rPr>
          <w:rFonts w:hAnsi="宋体" w:cs="Arial"/>
          <w:b/>
          <w:bCs/>
          <w:color w:val="FF0000"/>
          <w:sz w:val="18"/>
          <w:szCs w:val="18"/>
        </w:rPr>
      </w:pPr>
      <w:r>
        <w:rPr>
          <w:rFonts w:hAnsi="宋体" w:cs="Arial"/>
          <w:b/>
          <w:bCs/>
          <w:color w:val="FF0000"/>
          <w:sz w:val="18"/>
          <w:szCs w:val="18"/>
        </w:rPr>
        <w:br w:type="page"/>
      </w:r>
    </w:p>
    <w:p>
      <w:pPr>
        <w:pStyle w:val="7"/>
        <w:rPr>
          <w:color w:val="FF0000"/>
        </w:rPr>
      </w:pPr>
      <w:r>
        <w:rPr>
          <w:rFonts w:ascii="宋体" w:cs="黑体"/>
          <w:kern w:val="0"/>
        </w:rPr>
        <w:drawing>
          <wp:anchor distT="0" distB="0" distL="114300" distR="114300" simplePos="0" relativeHeight="251687936" behindDoc="1" locked="0" layoutInCell="1" allowOverlap="1">
            <wp:simplePos x="0" y="0"/>
            <wp:positionH relativeFrom="column">
              <wp:posOffset>202565</wp:posOffset>
            </wp:positionH>
            <wp:positionV relativeFrom="paragraph">
              <wp:posOffset>452120</wp:posOffset>
            </wp:positionV>
            <wp:extent cx="5575935" cy="7165975"/>
            <wp:effectExtent l="0" t="0" r="5715" b="0"/>
            <wp:wrapNone/>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575935" cy="7165975"/>
                    </a:xfrm>
                    <a:prstGeom prst="rect">
                      <a:avLst/>
                    </a:prstGeom>
                    <a:noFill/>
                    <a:ln>
                      <a:noFill/>
                    </a:ln>
                  </pic:spPr>
                </pic:pic>
              </a:graphicData>
            </a:graphic>
          </wp:anchor>
        </w:drawing>
      </w:r>
      <w:r>
        <w:rPr>
          <w:rFonts w:hint="eastAsia"/>
        </w:rPr>
        <w:t>维保服务流程图</w:t>
      </w:r>
      <w:r>
        <w:rPr>
          <w:color w:val="FF0000"/>
        </w:rPr>
        <w:br w:type="page"/>
      </w:r>
    </w:p>
    <w:p>
      <w:pPr>
        <w:widowControl/>
        <w:tabs>
          <w:tab w:val="left" w:pos="180"/>
        </w:tabs>
        <w:ind w:left="480" w:leftChars="200" w:right="-117"/>
        <w:jc w:val="left"/>
        <w:rPr>
          <w:rFonts w:hAnsi="宋体" w:cs="Arial"/>
          <w:b/>
          <w:bCs/>
          <w:color w:val="FF0000"/>
          <w:sz w:val="18"/>
          <w:szCs w:val="18"/>
        </w:rPr>
      </w:pPr>
    </w:p>
    <w:p>
      <w:pPr>
        <w:pStyle w:val="7"/>
      </w:pPr>
      <w:r>
        <w:rPr>
          <w:rFonts w:hint="eastAsia"/>
        </w:rPr>
        <w:t xml:space="preserve">维修电梯工作流程 </w:t>
      </w:r>
    </w:p>
    <w:p>
      <w:pPr>
        <w:widowControl/>
        <w:adjustRightInd/>
        <w:snapToGrid/>
        <w:spacing w:line="240" w:lineRule="auto"/>
        <w:jc w:val="left"/>
        <w:rPr>
          <w:rFonts w:cstheme="majorBidi"/>
          <w:b/>
          <w:bCs/>
          <w:color w:val="FF0000"/>
          <w:sz w:val="36"/>
          <w:szCs w:val="32"/>
        </w:rPr>
      </w:pPr>
      <w:r>
        <w:drawing>
          <wp:anchor distT="0" distB="0" distL="114300" distR="114300" simplePos="0" relativeHeight="251688960" behindDoc="0" locked="1" layoutInCell="1" allowOverlap="1">
            <wp:simplePos x="0" y="0"/>
            <wp:positionH relativeFrom="page">
              <wp:posOffset>1268095</wp:posOffset>
            </wp:positionH>
            <wp:positionV relativeFrom="page">
              <wp:posOffset>1693545</wp:posOffset>
            </wp:positionV>
            <wp:extent cx="5133975" cy="5781675"/>
            <wp:effectExtent l="19050" t="19050" r="28575" b="28575"/>
            <wp:wrapNone/>
            <wp:docPr id="294" name="图片 294" descr="售后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售后流程图"/>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133975" cy="5781675"/>
                    </a:xfrm>
                    <a:prstGeom prst="rect">
                      <a:avLst/>
                    </a:prstGeom>
                    <a:noFill/>
                    <a:ln>
                      <a:solidFill>
                        <a:schemeClr val="tx1"/>
                      </a:solidFill>
                    </a:ln>
                  </pic:spPr>
                </pic:pic>
              </a:graphicData>
            </a:graphic>
          </wp:anchor>
        </w:drawing>
      </w:r>
      <w:r>
        <w:rPr>
          <w:color w:val="FF0000"/>
        </w:rPr>
        <w:br w:type="page"/>
      </w:r>
    </w:p>
    <w:p>
      <w:pPr>
        <w:pStyle w:val="3"/>
        <w:rPr>
          <w:color w:val="FF0000"/>
        </w:rPr>
      </w:pPr>
      <w:bookmarkStart w:id="16" w:name="_Toc120891610"/>
      <w:r>
        <w:rPr>
          <w:rFonts w:hint="eastAsia"/>
        </w:rPr>
        <w:t>电梯规范服务内容</w:t>
      </w:r>
      <w:bookmarkEnd w:id="16"/>
    </w:p>
    <w:p>
      <w:pPr>
        <w:pStyle w:val="10"/>
        <w:spacing w:line="360" w:lineRule="auto"/>
        <w:ind w:right="-29"/>
        <w:rPr>
          <w:rFonts w:hAnsi="宋体" w:cs="Arial"/>
          <w:b/>
          <w:bCs/>
          <w:iCs/>
          <w:sz w:val="24"/>
          <w:lang w:eastAsia="zh-CN"/>
        </w:rPr>
      </w:pPr>
      <w:r>
        <w:rPr>
          <w:rFonts w:hint="eastAsia" w:hAnsi="宋体" w:cs="Arial"/>
          <w:b/>
          <w:bCs/>
          <w:iCs/>
          <w:sz w:val="18"/>
          <w:szCs w:val="18"/>
          <w:lang w:eastAsia="zh-CN"/>
        </w:rPr>
        <w:t xml:space="preserve"> </w:t>
      </w:r>
      <w:r>
        <w:rPr>
          <w:rFonts w:hint="eastAsia" w:hAnsi="宋体" w:cs="Arial"/>
          <w:b/>
          <w:bCs/>
          <w:iCs/>
          <w:sz w:val="24"/>
          <w:lang w:eastAsia="zh-CN"/>
        </w:rPr>
        <w:t xml:space="preserve">  一、说明</w:t>
      </w:r>
    </w:p>
    <w:p>
      <w:pPr>
        <w:pStyle w:val="10"/>
        <w:spacing w:line="360" w:lineRule="auto"/>
        <w:ind w:left="711" w:right="-29" w:hanging="711" w:hangingChars="295"/>
        <w:rPr>
          <w:rFonts w:hAnsi="宋体" w:cs="Arial"/>
          <w:bCs/>
          <w:iCs/>
          <w:sz w:val="24"/>
          <w:lang w:eastAsia="zh-CN"/>
        </w:rPr>
      </w:pPr>
      <w:r>
        <w:rPr>
          <w:rFonts w:hint="eastAsia" w:hAnsi="宋体" w:cs="Arial"/>
          <w:b/>
          <w:bCs/>
          <w:iCs/>
          <w:sz w:val="24"/>
          <w:lang w:eastAsia="zh-CN"/>
        </w:rPr>
        <w:t xml:space="preserve">     </w:t>
      </w:r>
      <w:r>
        <w:rPr>
          <w:rFonts w:hint="eastAsia" w:hAnsi="宋体" w:cs="Arial"/>
          <w:bCs/>
          <w:iCs/>
          <w:sz w:val="24"/>
          <w:lang w:eastAsia="zh-CN"/>
        </w:rPr>
        <w:t xml:space="preserve"> 1.本规范适用于</w:t>
      </w:r>
      <w:r>
        <w:rPr>
          <w:rFonts w:hint="eastAsia" w:hAnsi="宋体"/>
          <w:sz w:val="24"/>
          <w:lang w:eastAsia="zh-CN"/>
        </w:rPr>
        <w:t>富士电梯制造</w:t>
      </w:r>
      <w:r>
        <w:rPr>
          <w:rFonts w:hint="eastAsia" w:hAnsi="宋体" w:cs="Arial"/>
          <w:bCs/>
          <w:iCs/>
          <w:sz w:val="24"/>
          <w:lang w:eastAsia="zh-CN"/>
        </w:rPr>
        <w:t>（惠州）有限公司及各分支机构的工程售后服务部门或人员的维修保养工作。</w:t>
      </w:r>
    </w:p>
    <w:p>
      <w:pPr>
        <w:pStyle w:val="10"/>
        <w:spacing w:line="360" w:lineRule="auto"/>
        <w:ind w:left="708" w:right="-29" w:hanging="708" w:hangingChars="295"/>
        <w:rPr>
          <w:rFonts w:hAnsi="宋体" w:cs="Arial"/>
          <w:bCs/>
          <w:iCs/>
          <w:sz w:val="24"/>
          <w:lang w:eastAsia="zh-CN"/>
        </w:rPr>
      </w:pPr>
      <w:r>
        <w:rPr>
          <w:rFonts w:hint="eastAsia" w:hAnsi="宋体" w:cs="Arial"/>
          <w:bCs/>
          <w:iCs/>
          <w:sz w:val="24"/>
          <w:lang w:eastAsia="zh-CN"/>
        </w:rPr>
        <w:t xml:space="preserve">       2.规范中的服务时间间隔各分为：</w:t>
      </w:r>
    </w:p>
    <w:p>
      <w:pPr>
        <w:pStyle w:val="10"/>
        <w:spacing w:line="360" w:lineRule="auto"/>
        <w:ind w:left="708" w:right="-29" w:hanging="708" w:hangingChars="295"/>
        <w:rPr>
          <w:rFonts w:hAnsi="宋体" w:cs="Arial"/>
          <w:bCs/>
          <w:iCs/>
          <w:sz w:val="24"/>
          <w:lang w:eastAsia="zh-CN"/>
        </w:rPr>
      </w:pPr>
      <w:r>
        <w:rPr>
          <w:rFonts w:hint="eastAsia" w:hAnsi="宋体" w:cs="Arial"/>
          <w:bCs/>
          <w:iCs/>
          <w:sz w:val="24"/>
          <w:lang w:eastAsia="zh-CN"/>
        </w:rPr>
        <w:t xml:space="preserve">         电梯：半月保养、月保养、季度保养、半年保养、年保养五类。</w:t>
      </w:r>
    </w:p>
    <w:p>
      <w:pPr>
        <w:pStyle w:val="10"/>
        <w:spacing w:line="360" w:lineRule="auto"/>
        <w:ind w:left="708" w:right="-29" w:hanging="708" w:hangingChars="295"/>
        <w:rPr>
          <w:rFonts w:hAnsi="宋体" w:cs="Arial"/>
          <w:bCs/>
          <w:iCs/>
          <w:sz w:val="24"/>
          <w:lang w:eastAsia="zh-CN"/>
        </w:rPr>
      </w:pPr>
      <w:r>
        <w:rPr>
          <w:rFonts w:hint="eastAsia" w:hAnsi="宋体" w:cs="Arial"/>
          <w:bCs/>
          <w:iCs/>
          <w:sz w:val="24"/>
          <w:lang w:eastAsia="zh-CN"/>
        </w:rPr>
        <w:t xml:space="preserve">         扶梯：月保养、年保养二类。</w:t>
      </w:r>
    </w:p>
    <w:p>
      <w:pPr>
        <w:pStyle w:val="10"/>
        <w:spacing w:line="360" w:lineRule="auto"/>
        <w:ind w:left="708" w:right="-29" w:hanging="708" w:hangingChars="295"/>
        <w:rPr>
          <w:rFonts w:hAnsi="宋体" w:cs="Arial"/>
          <w:bCs/>
          <w:iCs/>
          <w:sz w:val="24"/>
          <w:lang w:eastAsia="zh-CN"/>
        </w:rPr>
      </w:pPr>
      <w:r>
        <w:rPr>
          <w:rFonts w:hint="eastAsia" w:hAnsi="宋体" w:cs="Arial"/>
          <w:bCs/>
          <w:iCs/>
          <w:sz w:val="24"/>
          <w:lang w:eastAsia="zh-CN"/>
        </w:rPr>
        <w:t xml:space="preserve">         季保养应包括半月、月保养项目，半年保养包含半月、月、季保养的项目、年度保养包含半月、月、季、半年保养的项目。</w:t>
      </w:r>
    </w:p>
    <w:p>
      <w:pPr>
        <w:pStyle w:val="10"/>
        <w:spacing w:line="360" w:lineRule="auto"/>
        <w:ind w:left="708" w:right="-29" w:hanging="708" w:hangingChars="295"/>
        <w:rPr>
          <w:rFonts w:hAnsi="宋体"/>
          <w:sz w:val="24"/>
          <w:lang w:eastAsia="zh-CN"/>
        </w:rPr>
      </w:pPr>
      <w:r>
        <w:rPr>
          <w:rFonts w:hint="eastAsia" w:hAnsi="宋体" w:cs="Arial"/>
          <w:bCs/>
          <w:iCs/>
          <w:sz w:val="24"/>
          <w:lang w:eastAsia="zh-CN"/>
        </w:rPr>
        <w:t xml:space="preserve">    </w:t>
      </w:r>
      <w:r>
        <w:rPr>
          <w:rFonts w:hint="eastAsia" w:hAnsi="宋体"/>
          <w:sz w:val="24"/>
          <w:lang w:eastAsia="zh-CN"/>
        </w:rPr>
        <w:t>3.规范服务的完工时间与人员安排：</w:t>
      </w:r>
    </w:p>
    <w:tbl>
      <w:tblPr>
        <w:tblStyle w:val="18"/>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47"/>
        <w:gridCol w:w="2906"/>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7" w:type="dxa"/>
            <w:vAlign w:val="center"/>
          </w:tcPr>
          <w:p>
            <w:pPr>
              <w:rPr>
                <w:rFonts w:cs="Times New Roman"/>
                <w:kern w:val="0"/>
                <w:szCs w:val="20"/>
              </w:rPr>
            </w:pPr>
            <w:r>
              <w:rPr>
                <w:rFonts w:hint="eastAsia" w:cs="Times New Roman"/>
                <w:kern w:val="0"/>
                <w:szCs w:val="20"/>
              </w:rPr>
              <w:t>名   称</w:t>
            </w:r>
          </w:p>
        </w:tc>
        <w:tc>
          <w:tcPr>
            <w:tcW w:w="2906" w:type="dxa"/>
            <w:vAlign w:val="center"/>
          </w:tcPr>
          <w:p>
            <w:pPr>
              <w:rPr>
                <w:rFonts w:cs="Times New Roman"/>
                <w:kern w:val="0"/>
                <w:szCs w:val="20"/>
              </w:rPr>
            </w:pPr>
            <w:r>
              <w:rPr>
                <w:rFonts w:hint="eastAsia" w:cs="Times New Roman"/>
                <w:kern w:val="0"/>
                <w:szCs w:val="20"/>
              </w:rPr>
              <w:t>人    员</w:t>
            </w:r>
          </w:p>
        </w:tc>
        <w:tc>
          <w:tcPr>
            <w:tcW w:w="2977" w:type="dxa"/>
            <w:vAlign w:val="center"/>
          </w:tcPr>
          <w:p>
            <w:pPr>
              <w:rPr>
                <w:rFonts w:cs="Times New Roman"/>
                <w:kern w:val="0"/>
                <w:szCs w:val="20"/>
              </w:rPr>
            </w:pPr>
            <w:r>
              <w:rPr>
                <w:rFonts w:hint="eastAsia" w:cs="Times New Roman"/>
                <w:kern w:val="0"/>
                <w:szCs w:val="20"/>
              </w:rPr>
              <w:t>完工时间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7" w:type="dxa"/>
            <w:vAlign w:val="center"/>
          </w:tcPr>
          <w:p>
            <w:pPr>
              <w:rPr>
                <w:rFonts w:cs="Times New Roman"/>
                <w:kern w:val="0"/>
                <w:szCs w:val="20"/>
              </w:rPr>
            </w:pPr>
            <w:r>
              <w:rPr>
                <w:rFonts w:hint="eastAsia" w:cs="Times New Roman"/>
                <w:kern w:val="0"/>
                <w:szCs w:val="20"/>
              </w:rPr>
              <w:t>半月、月保养</w:t>
            </w:r>
          </w:p>
        </w:tc>
        <w:tc>
          <w:tcPr>
            <w:tcW w:w="2906" w:type="dxa"/>
            <w:vAlign w:val="center"/>
          </w:tcPr>
          <w:p>
            <w:pPr>
              <w:rPr>
                <w:rFonts w:cs="Times New Roman"/>
                <w:kern w:val="0"/>
                <w:szCs w:val="20"/>
              </w:rPr>
            </w:pPr>
            <w:r>
              <w:rPr>
                <w:rFonts w:hint="eastAsia" w:cs="Times New Roman"/>
                <w:kern w:val="0"/>
                <w:szCs w:val="20"/>
              </w:rPr>
              <w:t>1～2人</w:t>
            </w:r>
          </w:p>
        </w:tc>
        <w:tc>
          <w:tcPr>
            <w:tcW w:w="2977" w:type="dxa"/>
            <w:vAlign w:val="center"/>
          </w:tcPr>
          <w:p>
            <w:pPr>
              <w:rPr>
                <w:rFonts w:cs="Times New Roman"/>
                <w:kern w:val="0"/>
                <w:szCs w:val="20"/>
              </w:rPr>
            </w:pPr>
            <w:r>
              <w:rPr>
                <w:rFonts w:hint="eastAsia" w:cs="Times New Roman"/>
                <w:kern w:val="0"/>
                <w:szCs w:val="20"/>
              </w:rPr>
              <w:t>半小时～一小时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7" w:type="dxa"/>
            <w:vAlign w:val="center"/>
          </w:tcPr>
          <w:p>
            <w:pPr>
              <w:rPr>
                <w:rFonts w:cs="Times New Roman"/>
                <w:kern w:val="0"/>
                <w:szCs w:val="20"/>
              </w:rPr>
            </w:pPr>
            <w:r>
              <w:rPr>
                <w:rFonts w:hint="eastAsia" w:cs="Times New Roman"/>
                <w:kern w:val="0"/>
                <w:szCs w:val="20"/>
              </w:rPr>
              <w:t>季  保  养</w:t>
            </w:r>
          </w:p>
        </w:tc>
        <w:tc>
          <w:tcPr>
            <w:tcW w:w="2906" w:type="dxa"/>
            <w:vAlign w:val="center"/>
          </w:tcPr>
          <w:p>
            <w:pPr>
              <w:rPr>
                <w:rFonts w:cs="Times New Roman"/>
                <w:kern w:val="0"/>
                <w:szCs w:val="20"/>
              </w:rPr>
            </w:pPr>
            <w:r>
              <w:rPr>
                <w:rFonts w:hint="eastAsia" w:cs="Times New Roman"/>
                <w:kern w:val="0"/>
                <w:szCs w:val="20"/>
              </w:rPr>
              <w:t>2人</w:t>
            </w:r>
          </w:p>
        </w:tc>
        <w:tc>
          <w:tcPr>
            <w:tcW w:w="2977" w:type="dxa"/>
            <w:vAlign w:val="center"/>
          </w:tcPr>
          <w:p>
            <w:pPr>
              <w:rPr>
                <w:rFonts w:cs="Times New Roman"/>
                <w:kern w:val="0"/>
                <w:szCs w:val="20"/>
              </w:rPr>
            </w:pPr>
            <w:r>
              <w:rPr>
                <w:rFonts w:hint="eastAsia" w:cs="Times New Roman"/>
                <w:kern w:val="0"/>
                <w:szCs w:val="20"/>
              </w:rPr>
              <w:t>一小时～二小时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7" w:type="dxa"/>
            <w:vAlign w:val="center"/>
          </w:tcPr>
          <w:p>
            <w:pPr>
              <w:rPr>
                <w:rFonts w:cs="Times New Roman"/>
                <w:kern w:val="0"/>
                <w:szCs w:val="20"/>
              </w:rPr>
            </w:pPr>
            <w:r>
              <w:rPr>
                <w:rFonts w:hint="eastAsia" w:cs="Times New Roman"/>
                <w:kern w:val="0"/>
                <w:szCs w:val="20"/>
              </w:rPr>
              <w:t>半 年 保 养</w:t>
            </w:r>
          </w:p>
        </w:tc>
        <w:tc>
          <w:tcPr>
            <w:tcW w:w="2906" w:type="dxa"/>
            <w:vAlign w:val="center"/>
          </w:tcPr>
          <w:p>
            <w:pPr>
              <w:rPr>
                <w:rFonts w:cs="Times New Roman"/>
                <w:kern w:val="0"/>
                <w:szCs w:val="20"/>
              </w:rPr>
            </w:pPr>
            <w:r>
              <w:rPr>
                <w:rFonts w:hint="eastAsia" w:cs="Times New Roman"/>
                <w:kern w:val="0"/>
                <w:szCs w:val="20"/>
              </w:rPr>
              <w:t>2人</w:t>
            </w:r>
          </w:p>
        </w:tc>
        <w:tc>
          <w:tcPr>
            <w:tcW w:w="2977" w:type="dxa"/>
            <w:vAlign w:val="center"/>
          </w:tcPr>
          <w:p>
            <w:pPr>
              <w:rPr>
                <w:rFonts w:cs="Times New Roman"/>
                <w:kern w:val="0"/>
                <w:szCs w:val="20"/>
              </w:rPr>
            </w:pPr>
            <w:r>
              <w:rPr>
                <w:rFonts w:hint="eastAsia" w:cs="Times New Roman"/>
                <w:kern w:val="0"/>
                <w:szCs w:val="20"/>
              </w:rPr>
              <w:t>二小时～四小时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7" w:type="dxa"/>
            <w:vAlign w:val="center"/>
          </w:tcPr>
          <w:p>
            <w:pPr>
              <w:rPr>
                <w:rFonts w:cs="Times New Roman"/>
                <w:kern w:val="0"/>
                <w:szCs w:val="20"/>
              </w:rPr>
            </w:pPr>
            <w:r>
              <w:rPr>
                <w:rFonts w:hint="eastAsia" w:cs="Times New Roman"/>
                <w:kern w:val="0"/>
                <w:szCs w:val="20"/>
              </w:rPr>
              <w:t>年  保  养</w:t>
            </w:r>
          </w:p>
        </w:tc>
        <w:tc>
          <w:tcPr>
            <w:tcW w:w="2906" w:type="dxa"/>
            <w:vAlign w:val="center"/>
          </w:tcPr>
          <w:p>
            <w:pPr>
              <w:rPr>
                <w:rFonts w:cs="Times New Roman"/>
                <w:kern w:val="0"/>
                <w:szCs w:val="20"/>
              </w:rPr>
            </w:pPr>
            <w:r>
              <w:rPr>
                <w:rFonts w:hint="eastAsia" w:cs="Times New Roman"/>
                <w:kern w:val="0"/>
                <w:szCs w:val="20"/>
              </w:rPr>
              <w:t>2～3人</w:t>
            </w:r>
          </w:p>
        </w:tc>
        <w:tc>
          <w:tcPr>
            <w:tcW w:w="2977" w:type="dxa"/>
            <w:vAlign w:val="center"/>
          </w:tcPr>
          <w:p>
            <w:pPr>
              <w:rPr>
                <w:rFonts w:cs="Times New Roman"/>
                <w:kern w:val="0"/>
                <w:szCs w:val="20"/>
              </w:rPr>
            </w:pPr>
            <w:r>
              <w:rPr>
                <w:rFonts w:hint="eastAsia" w:cs="Times New Roman"/>
                <w:kern w:val="0"/>
                <w:szCs w:val="20"/>
              </w:rPr>
              <w:t>四小时～八小时</w:t>
            </w:r>
          </w:p>
        </w:tc>
      </w:tr>
    </w:tbl>
    <w:p>
      <w:pPr>
        <w:spacing w:line="400" w:lineRule="exact"/>
        <w:ind w:left="420" w:right="-117"/>
        <w:rPr>
          <w:rFonts w:ascii="宋体" w:hAnsi="宋体"/>
          <w:szCs w:val="24"/>
        </w:rPr>
      </w:pPr>
      <w:r>
        <w:rPr>
          <w:rFonts w:hint="eastAsia" w:ascii="宋体" w:hAnsi="宋体"/>
          <w:szCs w:val="24"/>
        </w:rPr>
        <w:t>注：完工时间也可根据具体情况作适当调整。</w:t>
      </w:r>
    </w:p>
    <w:p>
      <w:pPr>
        <w:spacing w:line="400" w:lineRule="exact"/>
        <w:ind w:left="420" w:right="-117" w:firstLine="480"/>
      </w:pPr>
      <w:r>
        <w:rPr>
          <w:rFonts w:hint="eastAsia" w:ascii="宋体" w:hAnsi="宋体"/>
          <w:szCs w:val="24"/>
        </w:rPr>
        <w:t>工具：如大包，本投标人准备其相应配件及常用的工具；如小包，本投标人准备常用工具，客户准备其</w:t>
      </w:r>
      <w:r>
        <w:rPr>
          <w:rFonts w:hint="eastAsia"/>
        </w:rPr>
        <w:t>相应配件。</w:t>
      </w:r>
    </w:p>
    <w:p>
      <w:pPr>
        <w:widowControl/>
        <w:adjustRightInd/>
        <w:snapToGrid/>
        <w:spacing w:line="240" w:lineRule="auto"/>
        <w:jc w:val="left"/>
      </w:pPr>
      <w:r>
        <w:br w:type="page"/>
      </w:r>
    </w:p>
    <w:p>
      <w:pPr>
        <w:pStyle w:val="2"/>
        <w:rPr>
          <w:rFonts w:ascii="方正楷体简体" w:eastAsia="方正楷体简体"/>
          <w:sz w:val="28"/>
          <w:szCs w:val="28"/>
        </w:rPr>
      </w:pPr>
      <w:bookmarkStart w:id="17" w:name="_Toc120891611"/>
      <w:r>
        <w:rPr>
          <w:rFonts w:hint="eastAsia"/>
        </w:rPr>
        <w:t>电梯的主要配置</w:t>
      </w:r>
      <w:bookmarkEnd w:id="17"/>
    </w:p>
    <w:tbl>
      <w:tblPr>
        <w:tblStyle w:val="9"/>
        <w:tblW w:w="4937" w:type="pct"/>
        <w:jc w:val="center"/>
        <w:tblLayout w:type="autofit"/>
        <w:tblCellMar>
          <w:top w:w="0" w:type="dxa"/>
          <w:left w:w="108" w:type="dxa"/>
          <w:bottom w:w="0" w:type="dxa"/>
          <w:right w:w="108" w:type="dxa"/>
        </w:tblCellMar>
      </w:tblPr>
      <w:tblGrid>
        <w:gridCol w:w="840"/>
        <w:gridCol w:w="829"/>
        <w:gridCol w:w="3506"/>
        <w:gridCol w:w="3150"/>
        <w:gridCol w:w="844"/>
      </w:tblGrid>
      <w:tr>
        <w:tblPrEx>
          <w:tblCellMar>
            <w:top w:w="0" w:type="dxa"/>
            <w:left w:w="108" w:type="dxa"/>
            <w:bottom w:w="0" w:type="dxa"/>
            <w:right w:w="108" w:type="dxa"/>
          </w:tblCellMar>
        </w:tblPrEx>
        <w:trPr>
          <w:trHeight w:val="545" w:hRule="exact"/>
          <w:jc w:val="center"/>
        </w:trPr>
        <w:tc>
          <w:tcPr>
            <w:tcW w:w="458" w:type="pct"/>
            <w:tcBorders>
              <w:top w:val="single" w:color="000000" w:sz="24" w:space="0"/>
              <w:left w:val="single" w:color="000000" w:sz="24" w:space="0"/>
              <w:bottom w:val="single" w:color="000000" w:sz="12" w:space="0"/>
              <w:right w:val="single" w:color="000000" w:sz="12" w:space="0"/>
            </w:tcBorders>
            <w:vAlign w:val="center"/>
          </w:tcPr>
          <w:p>
            <w:pPr>
              <w:spacing w:line="240" w:lineRule="auto"/>
            </w:pPr>
            <w:r>
              <w:rPr>
                <w:rFonts w:hint="eastAsia"/>
              </w:rPr>
              <w:t>序号</w:t>
            </w:r>
          </w:p>
        </w:tc>
        <w:tc>
          <w:tcPr>
            <w:tcW w:w="2364" w:type="pct"/>
            <w:gridSpan w:val="2"/>
            <w:tcBorders>
              <w:top w:val="single" w:color="000000" w:sz="24" w:space="0"/>
              <w:left w:val="single" w:color="000000" w:sz="12" w:space="0"/>
              <w:bottom w:val="single" w:color="000000" w:sz="12" w:space="0"/>
              <w:right w:val="single" w:color="000000" w:sz="12" w:space="0"/>
            </w:tcBorders>
            <w:vAlign w:val="center"/>
          </w:tcPr>
          <w:p>
            <w:pPr>
              <w:spacing w:line="240" w:lineRule="auto"/>
            </w:pPr>
            <w:r>
              <w:rPr>
                <w:rFonts w:hint="eastAsia"/>
              </w:rPr>
              <w:t>主</w:t>
            </w:r>
            <w:r>
              <w:t xml:space="preserve"> </w:t>
            </w:r>
            <w:r>
              <w:rPr>
                <w:rFonts w:hint="eastAsia"/>
              </w:rPr>
              <w:t>要</w:t>
            </w:r>
            <w:r>
              <w:t xml:space="preserve"> </w:t>
            </w:r>
            <w:r>
              <w:rPr>
                <w:rFonts w:hint="eastAsia"/>
              </w:rPr>
              <w:t>部</w:t>
            </w:r>
            <w:r>
              <w:t xml:space="preserve"> </w:t>
            </w:r>
            <w:r>
              <w:rPr>
                <w:rFonts w:hint="eastAsia"/>
              </w:rPr>
              <w:t>件</w:t>
            </w:r>
            <w:r>
              <w:t xml:space="preserve"> </w:t>
            </w:r>
            <w:r>
              <w:rPr>
                <w:rFonts w:hint="eastAsia"/>
              </w:rPr>
              <w:t>名</w:t>
            </w:r>
            <w:r>
              <w:t xml:space="preserve"> </w:t>
            </w:r>
            <w:r>
              <w:rPr>
                <w:rFonts w:hint="eastAsia"/>
              </w:rPr>
              <w:t>称</w:t>
            </w:r>
          </w:p>
        </w:tc>
        <w:tc>
          <w:tcPr>
            <w:tcW w:w="1718" w:type="pct"/>
            <w:tcBorders>
              <w:top w:val="single" w:color="000000" w:sz="24" w:space="0"/>
              <w:left w:val="single" w:color="000000" w:sz="12" w:space="0"/>
              <w:bottom w:val="single" w:color="000000" w:sz="12" w:space="0"/>
              <w:right w:val="single" w:color="000000" w:sz="12" w:space="0"/>
            </w:tcBorders>
            <w:vAlign w:val="center"/>
          </w:tcPr>
          <w:p>
            <w:pPr>
              <w:spacing w:line="240" w:lineRule="auto"/>
            </w:pPr>
            <w:r>
              <w:rPr>
                <w:rFonts w:hint="eastAsia"/>
              </w:rPr>
              <w:t>品</w:t>
            </w:r>
            <w:r>
              <w:t xml:space="preserve"> </w:t>
            </w:r>
            <w:r>
              <w:rPr>
                <w:rFonts w:hint="eastAsia"/>
              </w:rPr>
              <w:t>牌</w:t>
            </w:r>
          </w:p>
        </w:tc>
        <w:tc>
          <w:tcPr>
            <w:tcW w:w="460" w:type="pct"/>
            <w:tcBorders>
              <w:top w:val="single" w:color="000000" w:sz="24" w:space="0"/>
              <w:right w:val="single" w:color="000000" w:sz="24" w:space="0"/>
            </w:tcBorders>
            <w:vAlign w:val="center"/>
          </w:tcPr>
          <w:p>
            <w:pPr>
              <w:spacing w:line="240" w:lineRule="auto"/>
            </w:pPr>
            <w:r>
              <w:rPr>
                <w:rFonts w:hint="eastAsia"/>
              </w:rPr>
              <w:t>备注</w:t>
            </w:r>
          </w:p>
        </w:tc>
      </w:tr>
      <w:tr>
        <w:tblPrEx>
          <w:tblCellMar>
            <w:top w:w="0" w:type="dxa"/>
            <w:left w:w="108" w:type="dxa"/>
            <w:bottom w:w="0" w:type="dxa"/>
            <w:right w:w="108" w:type="dxa"/>
          </w:tblCellMar>
        </w:tblPrEx>
        <w:trPr>
          <w:trHeight w:val="395" w:hRule="exact"/>
          <w:jc w:val="center"/>
        </w:trPr>
        <w:tc>
          <w:tcPr>
            <w:tcW w:w="458" w:type="pct"/>
            <w:vMerge w:val="restart"/>
            <w:tcBorders>
              <w:top w:val="single" w:color="000000" w:sz="12" w:space="0"/>
              <w:left w:val="single" w:color="000000" w:sz="24" w:space="0"/>
              <w:bottom w:val="single" w:color="000000" w:sz="8" w:space="0"/>
              <w:right w:val="single" w:color="000000" w:sz="12" w:space="0"/>
            </w:tcBorders>
            <w:vAlign w:val="center"/>
          </w:tcPr>
          <w:p>
            <w:pPr>
              <w:spacing w:line="240" w:lineRule="auto"/>
            </w:pPr>
            <w:r>
              <w:t>1</w:t>
            </w:r>
          </w:p>
        </w:tc>
        <w:tc>
          <w:tcPr>
            <w:tcW w:w="452" w:type="pct"/>
            <w:vMerge w:val="restart"/>
            <w:tcBorders>
              <w:top w:val="single" w:color="000000" w:sz="12" w:space="0"/>
              <w:left w:val="single" w:color="000000" w:sz="12" w:space="0"/>
              <w:bottom w:val="single" w:color="000000" w:sz="8" w:space="0"/>
              <w:right w:val="single" w:color="000000" w:sz="12" w:space="0"/>
            </w:tcBorders>
            <w:vAlign w:val="center"/>
          </w:tcPr>
          <w:p>
            <w:pPr>
              <w:spacing w:line="240" w:lineRule="auto"/>
            </w:pPr>
            <w:r>
              <w:rPr>
                <w:rFonts w:hint="eastAsia"/>
              </w:rPr>
              <w:t>控制系统</w:t>
            </w:r>
          </w:p>
        </w:tc>
        <w:tc>
          <w:tcPr>
            <w:tcW w:w="1912"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控制系统（微电脑、带消防功能）</w:t>
            </w:r>
          </w:p>
        </w:tc>
        <w:tc>
          <w:tcPr>
            <w:tcW w:w="1718"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苏州汇川</w:t>
            </w:r>
          </w:p>
        </w:tc>
        <w:tc>
          <w:tcPr>
            <w:tcW w:w="460" w:type="pct"/>
            <w:tcBorders>
              <w:top w:val="single" w:color="000000" w:sz="12"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00"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驱动变频器</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苏州汇川</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67"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编码器</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苏州汇川</w:t>
            </w:r>
          </w:p>
        </w:tc>
        <w:tc>
          <w:tcPr>
            <w:tcW w:w="460" w:type="pct"/>
            <w:tcBorders>
              <w:top w:val="single" w:color="000000" w:sz="4" w:space="0"/>
              <w:left w:val="single" w:color="000000" w:sz="12" w:space="0"/>
              <w:bottom w:val="single" w:color="000000" w:sz="4" w:space="0"/>
              <w:right w:val="single" w:color="000000" w:sz="24" w:space="0"/>
            </w:tcBorders>
            <w:vAlign w:val="center"/>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right w:val="single" w:color="000000" w:sz="12" w:space="0"/>
            </w:tcBorders>
            <w:vAlign w:val="center"/>
          </w:tcPr>
          <w:p>
            <w:pPr>
              <w:spacing w:line="240" w:lineRule="auto"/>
            </w:pPr>
            <w:r>
              <w:rPr>
                <w:rFonts w:hint="eastAsia"/>
              </w:rPr>
              <w:t>主接触器</w:t>
            </w:r>
          </w:p>
        </w:tc>
        <w:tc>
          <w:tcPr>
            <w:tcW w:w="1718" w:type="pct"/>
            <w:tcBorders>
              <w:top w:val="single" w:color="000000" w:sz="4" w:space="0"/>
              <w:left w:val="single" w:color="000000" w:sz="12" w:space="0"/>
              <w:right w:val="single" w:color="000000" w:sz="12" w:space="0"/>
            </w:tcBorders>
            <w:vAlign w:val="center"/>
          </w:tcPr>
          <w:p>
            <w:pPr>
              <w:spacing w:line="240" w:lineRule="auto"/>
            </w:pPr>
            <w:r>
              <w:rPr>
                <w:rFonts w:hint="eastAsia"/>
              </w:rPr>
              <w:t>富士</w:t>
            </w:r>
          </w:p>
        </w:tc>
        <w:tc>
          <w:tcPr>
            <w:tcW w:w="460" w:type="pct"/>
            <w:tcBorders>
              <w:top w:val="single" w:color="000000" w:sz="4" w:space="0"/>
              <w:left w:val="single" w:color="000000" w:sz="12"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restart"/>
            <w:tcBorders>
              <w:top w:val="single" w:color="000000" w:sz="12" w:space="0"/>
              <w:left w:val="single" w:color="000000" w:sz="24" w:space="0"/>
              <w:bottom w:val="single" w:color="000000" w:sz="8" w:space="0"/>
              <w:right w:val="single" w:color="000000" w:sz="12" w:space="0"/>
            </w:tcBorders>
            <w:vAlign w:val="center"/>
          </w:tcPr>
          <w:p>
            <w:pPr>
              <w:spacing w:line="240" w:lineRule="auto"/>
            </w:pPr>
            <w:r>
              <w:t>2</w:t>
            </w:r>
          </w:p>
        </w:tc>
        <w:tc>
          <w:tcPr>
            <w:tcW w:w="452" w:type="pct"/>
            <w:vMerge w:val="restart"/>
            <w:tcBorders>
              <w:top w:val="single" w:color="000000" w:sz="12" w:space="0"/>
              <w:left w:val="single" w:color="000000" w:sz="12" w:space="0"/>
              <w:bottom w:val="single" w:color="000000" w:sz="8" w:space="0"/>
              <w:right w:val="single" w:color="000000" w:sz="12" w:space="0"/>
            </w:tcBorders>
            <w:vAlign w:val="center"/>
          </w:tcPr>
          <w:p>
            <w:pPr>
              <w:spacing w:line="240" w:lineRule="auto"/>
            </w:pPr>
            <w:r>
              <w:rPr>
                <w:rFonts w:hint="eastAsia"/>
              </w:rPr>
              <w:t>曳引系统</w:t>
            </w:r>
          </w:p>
        </w:tc>
        <w:tc>
          <w:tcPr>
            <w:tcW w:w="1912"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曳引机</w:t>
            </w:r>
          </w:p>
        </w:tc>
        <w:tc>
          <w:tcPr>
            <w:tcW w:w="1718"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蒙特纳利</w:t>
            </w:r>
            <w:r>
              <w:t>/</w:t>
            </w:r>
            <w:r>
              <w:rPr>
                <w:rFonts w:hint="eastAsia"/>
              </w:rPr>
              <w:t>通润</w:t>
            </w:r>
          </w:p>
        </w:tc>
        <w:tc>
          <w:tcPr>
            <w:tcW w:w="460" w:type="pct"/>
            <w:tcBorders>
              <w:top w:val="single" w:color="000000" w:sz="12"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制动器装置</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蒙特纳利</w:t>
            </w:r>
            <w:r>
              <w:t>/</w:t>
            </w:r>
            <w:r>
              <w:rPr>
                <w:rFonts w:hint="eastAsia"/>
              </w:rPr>
              <w:t>通润</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轿厢反绳轮装置</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永恒</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对重轮装置</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永恒</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37" w:hRule="exact"/>
          <w:jc w:val="center"/>
        </w:trPr>
        <w:tc>
          <w:tcPr>
            <w:tcW w:w="458" w:type="pct"/>
            <w:vMerge w:val="continue"/>
            <w:tcBorders>
              <w:left w:val="single" w:color="000000" w:sz="24" w:space="0"/>
              <w:bottom w:val="single" w:color="000000" w:sz="12"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12" w:space="0"/>
              <w:right w:val="single" w:color="000000" w:sz="12" w:space="0"/>
            </w:tcBorders>
            <w:vAlign w:val="center"/>
          </w:tcPr>
          <w:p>
            <w:pPr>
              <w:spacing w:line="240" w:lineRule="auto"/>
            </w:pPr>
            <w:r>
              <w:rPr>
                <w:rFonts w:hint="eastAsia"/>
              </w:rPr>
              <w:t>钢丝绳</w:t>
            </w:r>
          </w:p>
        </w:tc>
        <w:tc>
          <w:tcPr>
            <w:tcW w:w="1718" w:type="pct"/>
            <w:tcBorders>
              <w:top w:val="single" w:color="000000" w:sz="4" w:space="0"/>
              <w:left w:val="single" w:color="000000" w:sz="12" w:space="0"/>
              <w:bottom w:val="single" w:color="000000" w:sz="12" w:space="0"/>
              <w:right w:val="single" w:color="000000" w:sz="12" w:space="0"/>
            </w:tcBorders>
            <w:vAlign w:val="center"/>
          </w:tcPr>
          <w:p>
            <w:pPr>
              <w:spacing w:line="240" w:lineRule="auto"/>
            </w:pPr>
            <w:r>
              <w:rPr>
                <w:rFonts w:hint="eastAsia"/>
              </w:rPr>
              <w:t>天津尚达</w:t>
            </w:r>
          </w:p>
        </w:tc>
        <w:tc>
          <w:tcPr>
            <w:tcW w:w="460" w:type="pct"/>
            <w:tcBorders>
              <w:top w:val="single" w:color="000000" w:sz="4" w:space="0"/>
              <w:left w:val="single" w:color="000000" w:sz="12" w:space="0"/>
              <w:bottom w:val="single" w:color="000000" w:sz="12" w:space="0"/>
              <w:right w:val="single" w:color="000000" w:sz="24" w:space="0"/>
            </w:tcBorders>
          </w:tcPr>
          <w:p>
            <w:pPr>
              <w:spacing w:line="240" w:lineRule="auto"/>
            </w:pPr>
          </w:p>
        </w:tc>
      </w:tr>
      <w:tr>
        <w:tblPrEx>
          <w:tblCellMar>
            <w:top w:w="0" w:type="dxa"/>
            <w:left w:w="108" w:type="dxa"/>
            <w:bottom w:w="0" w:type="dxa"/>
            <w:right w:w="108" w:type="dxa"/>
          </w:tblCellMar>
        </w:tblPrEx>
        <w:trPr>
          <w:trHeight w:val="375" w:hRule="exact"/>
          <w:jc w:val="center"/>
        </w:trPr>
        <w:tc>
          <w:tcPr>
            <w:tcW w:w="458" w:type="pct"/>
            <w:tcBorders>
              <w:top w:val="single" w:color="000000" w:sz="12" w:space="0"/>
              <w:left w:val="single" w:color="000000" w:sz="24" w:space="0"/>
              <w:bottom w:val="single" w:color="000000" w:sz="12" w:space="0"/>
              <w:right w:val="single" w:color="000000" w:sz="12" w:space="0"/>
            </w:tcBorders>
            <w:vAlign w:val="center"/>
          </w:tcPr>
          <w:p>
            <w:pPr>
              <w:spacing w:line="240" w:lineRule="auto"/>
            </w:pPr>
            <w:r>
              <w:t>3</w:t>
            </w:r>
          </w:p>
        </w:tc>
        <w:tc>
          <w:tcPr>
            <w:tcW w:w="452" w:type="pct"/>
            <w:tcBorders>
              <w:top w:val="single" w:color="000000" w:sz="12" w:space="0"/>
              <w:left w:val="single" w:color="000000" w:sz="12" w:space="0"/>
              <w:bottom w:val="single" w:color="000000" w:sz="12" w:space="0"/>
              <w:right w:val="single" w:color="000000" w:sz="12" w:space="0"/>
            </w:tcBorders>
            <w:vAlign w:val="center"/>
          </w:tcPr>
          <w:p>
            <w:pPr>
              <w:spacing w:line="240" w:lineRule="auto"/>
            </w:pPr>
            <w:r>
              <w:rPr>
                <w:rFonts w:hint="eastAsia"/>
              </w:rPr>
              <w:t>门机系统</w:t>
            </w:r>
          </w:p>
        </w:tc>
        <w:tc>
          <w:tcPr>
            <w:tcW w:w="1912" w:type="pct"/>
            <w:tcBorders>
              <w:top w:val="single" w:color="000000" w:sz="12" w:space="0"/>
              <w:left w:val="single" w:color="000000" w:sz="12" w:space="0"/>
              <w:bottom w:val="single" w:color="000000" w:sz="12" w:space="0"/>
              <w:right w:val="single" w:color="000000" w:sz="12" w:space="0"/>
            </w:tcBorders>
          </w:tcPr>
          <w:p>
            <w:pPr>
              <w:spacing w:line="240" w:lineRule="auto"/>
            </w:pPr>
            <w:r>
              <w:rPr>
                <w:rFonts w:hint="eastAsia"/>
              </w:rPr>
              <w:t>门机、门头</w:t>
            </w:r>
          </w:p>
        </w:tc>
        <w:tc>
          <w:tcPr>
            <w:tcW w:w="1718" w:type="pct"/>
            <w:tcBorders>
              <w:top w:val="single" w:color="000000" w:sz="12" w:space="0"/>
              <w:left w:val="single" w:color="000000" w:sz="12" w:space="0"/>
              <w:bottom w:val="single" w:color="000000" w:sz="12" w:space="0"/>
              <w:right w:val="single" w:color="000000" w:sz="12" w:space="0"/>
            </w:tcBorders>
          </w:tcPr>
          <w:p>
            <w:pPr>
              <w:spacing w:line="240" w:lineRule="auto"/>
            </w:pPr>
            <w:r>
              <w:rPr>
                <w:rFonts w:hint="eastAsia"/>
              </w:rPr>
              <w:t>宁波欧菱/无锡展鹏/佛山甬大</w:t>
            </w:r>
          </w:p>
        </w:tc>
        <w:tc>
          <w:tcPr>
            <w:tcW w:w="460" w:type="pct"/>
            <w:tcBorders>
              <w:top w:val="single" w:color="000000" w:sz="12" w:space="0"/>
              <w:left w:val="single" w:color="000000" w:sz="12" w:space="0"/>
              <w:bottom w:val="single" w:color="000000" w:sz="12"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restart"/>
            <w:tcBorders>
              <w:top w:val="single" w:color="000000" w:sz="12" w:space="0"/>
              <w:left w:val="single" w:color="000000" w:sz="24" w:space="0"/>
              <w:bottom w:val="single" w:color="000000" w:sz="8" w:space="0"/>
              <w:right w:val="single" w:color="000000" w:sz="12" w:space="0"/>
            </w:tcBorders>
            <w:vAlign w:val="center"/>
          </w:tcPr>
          <w:p>
            <w:pPr>
              <w:spacing w:line="240" w:lineRule="auto"/>
            </w:pPr>
            <w:r>
              <w:t>4</w:t>
            </w:r>
          </w:p>
        </w:tc>
        <w:tc>
          <w:tcPr>
            <w:tcW w:w="452" w:type="pct"/>
            <w:vMerge w:val="restart"/>
            <w:tcBorders>
              <w:top w:val="single" w:color="000000" w:sz="12" w:space="0"/>
              <w:left w:val="single" w:color="000000" w:sz="12" w:space="0"/>
              <w:bottom w:val="single" w:color="000000" w:sz="8" w:space="0"/>
              <w:right w:val="single" w:color="000000" w:sz="12" w:space="0"/>
            </w:tcBorders>
            <w:vAlign w:val="center"/>
          </w:tcPr>
          <w:p>
            <w:pPr>
              <w:spacing w:line="240" w:lineRule="auto"/>
            </w:pPr>
            <w:r>
              <w:rPr>
                <w:rFonts w:hint="eastAsia"/>
              </w:rPr>
              <w:t>轿厢装置及</w:t>
            </w:r>
          </w:p>
          <w:p>
            <w:pPr>
              <w:spacing w:line="240" w:lineRule="auto"/>
            </w:pPr>
            <w:r>
              <w:rPr>
                <w:rFonts w:hint="eastAsia"/>
              </w:rPr>
              <w:t>井道内外部件</w:t>
            </w:r>
          </w:p>
        </w:tc>
        <w:tc>
          <w:tcPr>
            <w:tcW w:w="1912"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电梯导轨</w:t>
            </w:r>
          </w:p>
        </w:tc>
        <w:tc>
          <w:tcPr>
            <w:tcW w:w="1718" w:type="pct"/>
            <w:tcBorders>
              <w:top w:val="single" w:color="000000" w:sz="12" w:space="0"/>
              <w:left w:val="single" w:color="000000" w:sz="12" w:space="0"/>
              <w:bottom w:val="single" w:color="000000" w:sz="4" w:space="0"/>
              <w:right w:val="single" w:color="000000" w:sz="12" w:space="0"/>
            </w:tcBorders>
            <w:vAlign w:val="center"/>
          </w:tcPr>
          <w:p>
            <w:pPr>
              <w:spacing w:line="240" w:lineRule="auto"/>
            </w:pPr>
            <w:r>
              <w:rPr>
                <w:rFonts w:hint="eastAsia"/>
              </w:rPr>
              <w:t>银朗/辉牛</w:t>
            </w:r>
          </w:p>
        </w:tc>
        <w:tc>
          <w:tcPr>
            <w:tcW w:w="460" w:type="pct"/>
            <w:tcBorders>
              <w:top w:val="single" w:color="000000" w:sz="12"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67"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缓冲器</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上海绿盾</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72"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限速器</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永恒</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66"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安全钳</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永恒</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操纵箱</w:t>
            </w:r>
            <w:r>
              <w:t>(</w:t>
            </w:r>
            <w:r>
              <w:rPr>
                <w:rFonts w:hint="eastAsia"/>
              </w:rPr>
              <w:t>一体式</w:t>
            </w:r>
            <w:r>
              <w:t xml:space="preserve">) </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vAlign w:val="center"/>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召唤箱</w:t>
            </w:r>
            <w:r>
              <w:t>(</w:t>
            </w:r>
            <w:r>
              <w:rPr>
                <w:rFonts w:hint="eastAsia"/>
              </w:rPr>
              <w:t>挂壁式</w:t>
            </w:r>
            <w:r>
              <w:t xml:space="preserve">) </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vAlign w:val="center"/>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光幕</w:t>
            </w:r>
          </w:p>
        </w:tc>
        <w:tc>
          <w:tcPr>
            <w:tcW w:w="1718"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佳格/微科</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轿厢吊顶</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轿厢板</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74"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轿门板</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67"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层门板</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72" w:hRule="exact"/>
          <w:jc w:val="center"/>
        </w:trPr>
        <w:tc>
          <w:tcPr>
            <w:tcW w:w="458" w:type="pct"/>
            <w:vMerge w:val="continue"/>
            <w:tcBorders>
              <w:left w:val="single" w:color="000000" w:sz="24" w:space="0"/>
              <w:bottom w:val="single" w:color="000000" w:sz="8"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8"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小门套</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富士电梯</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77" w:hRule="exact"/>
          <w:jc w:val="center"/>
        </w:trPr>
        <w:tc>
          <w:tcPr>
            <w:tcW w:w="458" w:type="pct"/>
            <w:vMerge w:val="continue"/>
            <w:tcBorders>
              <w:left w:val="single" w:color="000000" w:sz="24" w:space="0"/>
              <w:right w:val="single" w:color="000000" w:sz="12" w:space="0"/>
            </w:tcBorders>
            <w:vAlign w:val="center"/>
          </w:tcPr>
          <w:p>
            <w:pPr>
              <w:spacing w:line="240" w:lineRule="auto"/>
            </w:pPr>
          </w:p>
        </w:tc>
        <w:tc>
          <w:tcPr>
            <w:tcW w:w="452" w:type="pct"/>
            <w:vMerge w:val="continue"/>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轿厢地板</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P</w:t>
            </w:r>
            <w:r>
              <w:t>VC/</w:t>
            </w:r>
            <w:r>
              <w:rPr>
                <w:rFonts w:hint="eastAsia"/>
              </w:rPr>
              <w:t>预留大理石</w:t>
            </w:r>
          </w:p>
        </w:tc>
        <w:tc>
          <w:tcPr>
            <w:tcW w:w="460" w:type="pct"/>
            <w:tcBorders>
              <w:top w:val="single" w:color="000000" w:sz="4" w:space="0"/>
              <w:left w:val="single" w:color="000000" w:sz="12" w:space="0"/>
              <w:bottom w:val="single" w:color="000000" w:sz="4" w:space="0"/>
              <w:right w:val="single" w:color="000000" w:sz="24" w:space="0"/>
            </w:tcBorders>
            <w:vAlign w:val="center"/>
          </w:tcPr>
          <w:p>
            <w:pPr>
              <w:spacing w:line="240" w:lineRule="auto"/>
            </w:pPr>
          </w:p>
        </w:tc>
      </w:tr>
      <w:tr>
        <w:tblPrEx>
          <w:tblCellMar>
            <w:top w:w="0" w:type="dxa"/>
            <w:left w:w="108" w:type="dxa"/>
            <w:bottom w:w="0" w:type="dxa"/>
            <w:right w:w="108" w:type="dxa"/>
          </w:tblCellMar>
        </w:tblPrEx>
        <w:trPr>
          <w:trHeight w:val="350" w:hRule="exact"/>
          <w:jc w:val="center"/>
        </w:trPr>
        <w:tc>
          <w:tcPr>
            <w:tcW w:w="458" w:type="pct"/>
            <w:vMerge w:val="restart"/>
            <w:tcBorders>
              <w:left w:val="single" w:color="000000" w:sz="24" w:space="0"/>
              <w:right w:val="single" w:color="000000" w:sz="12" w:space="0"/>
            </w:tcBorders>
            <w:vAlign w:val="center"/>
          </w:tcPr>
          <w:p>
            <w:pPr>
              <w:spacing w:line="240" w:lineRule="auto"/>
            </w:pPr>
          </w:p>
        </w:tc>
        <w:tc>
          <w:tcPr>
            <w:tcW w:w="452" w:type="pct"/>
            <w:vMerge w:val="restart"/>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绳头组合</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宁波盖勒克思</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95" w:hRule="exact"/>
          <w:jc w:val="center"/>
        </w:trPr>
        <w:tc>
          <w:tcPr>
            <w:tcW w:w="458" w:type="pct"/>
            <w:vMerge w:val="continue"/>
            <w:tcBorders>
              <w:left w:val="single" w:color="000000" w:sz="24" w:space="0"/>
              <w:right w:val="single" w:color="000000" w:sz="12" w:space="0"/>
            </w:tcBorders>
            <w:vAlign w:val="center"/>
          </w:tcPr>
          <w:p>
            <w:pPr>
              <w:spacing w:line="240" w:lineRule="auto"/>
            </w:pPr>
          </w:p>
        </w:tc>
        <w:tc>
          <w:tcPr>
            <w:tcW w:w="452" w:type="pct"/>
            <w:vMerge w:val="continue"/>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轿顶风扇</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宁波盖勒克思</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48" w:hRule="exact"/>
          <w:jc w:val="center"/>
        </w:trPr>
        <w:tc>
          <w:tcPr>
            <w:tcW w:w="458" w:type="pct"/>
            <w:vMerge w:val="continue"/>
            <w:tcBorders>
              <w:left w:val="single" w:color="000000" w:sz="24" w:space="0"/>
              <w:right w:val="single" w:color="000000" w:sz="12" w:space="0"/>
            </w:tcBorders>
            <w:vAlign w:val="center"/>
          </w:tcPr>
          <w:p>
            <w:pPr>
              <w:spacing w:line="240" w:lineRule="auto"/>
            </w:pPr>
          </w:p>
        </w:tc>
        <w:tc>
          <w:tcPr>
            <w:tcW w:w="452" w:type="pct"/>
            <w:vMerge w:val="continue"/>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照明</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佛山照明</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66" w:hRule="exact"/>
          <w:jc w:val="center"/>
        </w:trPr>
        <w:tc>
          <w:tcPr>
            <w:tcW w:w="458" w:type="pct"/>
            <w:vMerge w:val="continue"/>
            <w:tcBorders>
              <w:left w:val="single" w:color="000000" w:sz="24" w:space="0"/>
              <w:right w:val="single" w:color="000000" w:sz="12" w:space="0"/>
            </w:tcBorders>
            <w:vAlign w:val="center"/>
          </w:tcPr>
          <w:p>
            <w:pPr>
              <w:spacing w:line="240" w:lineRule="auto"/>
            </w:pPr>
          </w:p>
        </w:tc>
        <w:tc>
          <w:tcPr>
            <w:tcW w:w="452" w:type="pct"/>
            <w:vMerge w:val="continue"/>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配重块</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永恒</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70" w:hRule="exact"/>
          <w:jc w:val="center"/>
        </w:trPr>
        <w:tc>
          <w:tcPr>
            <w:tcW w:w="458" w:type="pct"/>
            <w:vMerge w:val="continue"/>
            <w:tcBorders>
              <w:left w:val="single" w:color="000000" w:sz="24" w:space="0"/>
              <w:right w:val="single" w:color="000000" w:sz="12" w:space="0"/>
            </w:tcBorders>
            <w:vAlign w:val="center"/>
          </w:tcPr>
          <w:p>
            <w:pPr>
              <w:spacing w:line="240" w:lineRule="auto"/>
            </w:pPr>
          </w:p>
        </w:tc>
        <w:tc>
          <w:tcPr>
            <w:tcW w:w="452" w:type="pct"/>
            <w:vMerge w:val="continue"/>
            <w:tcBorders>
              <w:left w:val="single" w:color="000000" w:sz="12"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4" w:space="0"/>
              <w:right w:val="single" w:color="000000" w:sz="12" w:space="0"/>
            </w:tcBorders>
            <w:vAlign w:val="center"/>
          </w:tcPr>
          <w:p>
            <w:pPr>
              <w:spacing w:line="240" w:lineRule="auto"/>
            </w:pPr>
            <w:r>
              <w:rPr>
                <w:rFonts w:hint="eastAsia"/>
              </w:rPr>
              <w:t>标准件</w:t>
            </w:r>
          </w:p>
        </w:tc>
        <w:tc>
          <w:tcPr>
            <w:tcW w:w="1718" w:type="pct"/>
            <w:tcBorders>
              <w:top w:val="single" w:color="000000" w:sz="4" w:space="0"/>
              <w:left w:val="single" w:color="000000" w:sz="12" w:space="0"/>
              <w:bottom w:val="single" w:color="000000" w:sz="4" w:space="0"/>
              <w:right w:val="single" w:color="000000" w:sz="12" w:space="0"/>
            </w:tcBorders>
          </w:tcPr>
          <w:p>
            <w:pPr>
              <w:spacing w:line="240" w:lineRule="auto"/>
            </w:pPr>
            <w:r>
              <w:rPr>
                <w:rFonts w:hint="eastAsia"/>
              </w:rPr>
              <w:t>星鸿元（国标）</w:t>
            </w:r>
          </w:p>
        </w:tc>
        <w:tc>
          <w:tcPr>
            <w:tcW w:w="460" w:type="pct"/>
            <w:tcBorders>
              <w:top w:val="single" w:color="000000" w:sz="4" w:space="0"/>
              <w:left w:val="single" w:color="000000" w:sz="12" w:space="0"/>
              <w:bottom w:val="single" w:color="000000" w:sz="4" w:space="0"/>
              <w:right w:val="single" w:color="000000" w:sz="24" w:space="0"/>
            </w:tcBorders>
          </w:tcPr>
          <w:p>
            <w:pPr>
              <w:spacing w:line="240" w:lineRule="auto"/>
            </w:pPr>
          </w:p>
        </w:tc>
      </w:tr>
      <w:tr>
        <w:tblPrEx>
          <w:tblCellMar>
            <w:top w:w="0" w:type="dxa"/>
            <w:left w:w="108" w:type="dxa"/>
            <w:bottom w:w="0" w:type="dxa"/>
            <w:right w:w="108" w:type="dxa"/>
          </w:tblCellMar>
        </w:tblPrEx>
        <w:trPr>
          <w:trHeight w:val="346" w:hRule="exact"/>
          <w:jc w:val="center"/>
        </w:trPr>
        <w:tc>
          <w:tcPr>
            <w:tcW w:w="458" w:type="pct"/>
            <w:vMerge w:val="continue"/>
            <w:tcBorders>
              <w:left w:val="single" w:color="000000" w:sz="24" w:space="0"/>
              <w:bottom w:val="single" w:color="000000" w:sz="24" w:space="0"/>
              <w:right w:val="single" w:color="000000" w:sz="12" w:space="0"/>
            </w:tcBorders>
            <w:vAlign w:val="center"/>
          </w:tcPr>
          <w:p>
            <w:pPr>
              <w:spacing w:line="240" w:lineRule="auto"/>
            </w:pPr>
          </w:p>
        </w:tc>
        <w:tc>
          <w:tcPr>
            <w:tcW w:w="452" w:type="pct"/>
            <w:vMerge w:val="continue"/>
            <w:tcBorders>
              <w:left w:val="single" w:color="000000" w:sz="12" w:space="0"/>
              <w:bottom w:val="single" w:color="000000" w:sz="24" w:space="0"/>
              <w:right w:val="single" w:color="000000" w:sz="12" w:space="0"/>
            </w:tcBorders>
            <w:vAlign w:val="center"/>
          </w:tcPr>
          <w:p>
            <w:pPr>
              <w:spacing w:line="240" w:lineRule="auto"/>
            </w:pPr>
          </w:p>
        </w:tc>
        <w:tc>
          <w:tcPr>
            <w:tcW w:w="1912" w:type="pct"/>
            <w:tcBorders>
              <w:top w:val="single" w:color="000000" w:sz="4" w:space="0"/>
              <w:left w:val="single" w:color="000000" w:sz="12" w:space="0"/>
              <w:bottom w:val="single" w:color="000000" w:sz="24" w:space="0"/>
              <w:right w:val="single" w:color="000000" w:sz="12" w:space="0"/>
            </w:tcBorders>
            <w:vAlign w:val="center"/>
          </w:tcPr>
          <w:p>
            <w:pPr>
              <w:spacing w:line="240" w:lineRule="auto"/>
            </w:pPr>
            <w:r>
              <w:rPr>
                <w:rFonts w:hint="eastAsia"/>
              </w:rPr>
              <w:t>电缆线</w:t>
            </w:r>
          </w:p>
        </w:tc>
        <w:tc>
          <w:tcPr>
            <w:tcW w:w="1718" w:type="pct"/>
            <w:tcBorders>
              <w:top w:val="single" w:color="000000" w:sz="4" w:space="0"/>
              <w:left w:val="single" w:color="000000" w:sz="12" w:space="0"/>
              <w:bottom w:val="single" w:color="000000" w:sz="24" w:space="0"/>
              <w:right w:val="single" w:color="000000" w:sz="12" w:space="0"/>
            </w:tcBorders>
          </w:tcPr>
          <w:p>
            <w:pPr>
              <w:spacing w:line="240" w:lineRule="auto"/>
            </w:pPr>
            <w:r>
              <w:rPr>
                <w:rFonts w:hint="eastAsia"/>
              </w:rPr>
              <w:t>默贝特</w:t>
            </w:r>
          </w:p>
        </w:tc>
        <w:tc>
          <w:tcPr>
            <w:tcW w:w="460" w:type="pct"/>
            <w:tcBorders>
              <w:top w:val="single" w:color="000000" w:sz="4" w:space="0"/>
              <w:left w:val="single" w:color="000000" w:sz="12" w:space="0"/>
              <w:bottom w:val="single" w:color="000000" w:sz="24" w:space="0"/>
              <w:right w:val="single" w:color="000000" w:sz="24" w:space="0"/>
            </w:tcBorders>
          </w:tcPr>
          <w:p>
            <w:pPr>
              <w:spacing w:line="240" w:lineRule="auto"/>
            </w:pPr>
          </w:p>
        </w:tc>
      </w:tr>
    </w:tbl>
    <w:p>
      <w:pPr>
        <w:rPr>
          <w:rFonts w:ascii="宋体"/>
          <w:sz w:val="28"/>
          <w:szCs w:val="28"/>
        </w:rPr>
      </w:pPr>
      <w:r>
        <w:rPr>
          <w:rFonts w:ascii="仿宋GB2312" w:hAnsi="仿宋GB2312" w:cs="仿宋GB2312"/>
          <w:b/>
          <w:bCs/>
          <w:color w:val="000000"/>
          <w:szCs w:val="21"/>
        </w:rPr>
        <w:t>备注：为保证和提高产品的质量、进一步技术更新，更好地满足顾客需求，我公司保留附件三个别部品中的小零件的型号的升级或优化权利，但是，我公司保证部品的质量和性能与原部品同等</w:t>
      </w:r>
      <w:r>
        <w:rPr>
          <w:rFonts w:hint="eastAsia" w:ascii="仿宋GB2312" w:hAnsi="仿宋GB2312" w:cs="仿宋GB2312"/>
          <w:b/>
          <w:bCs/>
          <w:color w:val="000000"/>
          <w:szCs w:val="21"/>
        </w:rPr>
        <w:t>。</w:t>
      </w:r>
    </w:p>
    <w:p>
      <w:pPr>
        <w:pStyle w:val="2"/>
      </w:pPr>
      <w:bookmarkStart w:id="18" w:name="_Toc120891612"/>
      <w:r>
        <w:rPr>
          <w:rFonts w:hint="eastAsia"/>
        </w:rPr>
        <w:drawing>
          <wp:anchor distT="0" distB="0" distL="114300" distR="114300" simplePos="0" relativeHeight="251659264" behindDoc="1" locked="0" layoutInCell="1" allowOverlap="1">
            <wp:simplePos x="0" y="0"/>
            <wp:positionH relativeFrom="margin">
              <wp:posOffset>720090</wp:posOffset>
            </wp:positionH>
            <wp:positionV relativeFrom="paragraph">
              <wp:posOffset>146050</wp:posOffset>
            </wp:positionV>
            <wp:extent cx="4373245" cy="5948045"/>
            <wp:effectExtent l="13018" t="25082" r="21272" b="21273"/>
            <wp:wrapNone/>
            <wp:docPr id="8" name="图片 8" descr="富士制造 -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富士制造 - 副本"/>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rot="5400000">
                      <a:off x="0" y="0"/>
                      <a:ext cx="4373484" cy="5947875"/>
                    </a:xfrm>
                    <a:prstGeom prst="rect">
                      <a:avLst/>
                    </a:prstGeom>
                    <a:noFill/>
                    <a:ln>
                      <a:solidFill>
                        <a:schemeClr val="tx1"/>
                      </a:solidFill>
                    </a:ln>
                    <a:effectLst/>
                  </pic:spPr>
                </pic:pic>
              </a:graphicData>
            </a:graphic>
          </wp:anchor>
        </w:drawing>
      </w:r>
      <w:r>
        <w:rPr>
          <w:rFonts w:hint="eastAsia"/>
        </w:rPr>
        <w:t>资质文件</w:t>
      </w:r>
      <w:bookmarkEnd w:id="18"/>
    </w:p>
    <w:p>
      <w:pPr>
        <w:pStyle w:val="3"/>
      </w:pPr>
      <w:bookmarkStart w:id="19" w:name="_Toc120891613"/>
      <w:r>
        <w:rPr>
          <w:rFonts w:hint="eastAsia"/>
        </w:rPr>
        <w:t>营业执照</w:t>
      </w:r>
      <w:bookmarkEnd w:id="19"/>
    </w:p>
    <w:p>
      <w:pPr>
        <w:widowControl/>
        <w:adjustRightInd/>
        <w:snapToGrid/>
        <w:spacing w:line="240" w:lineRule="auto"/>
        <w:jc w:val="left"/>
        <w:rPr>
          <w:rFonts w:ascii="宋体" w:hAnsi="宋体"/>
        </w:rPr>
      </w:pPr>
      <w:r>
        <w:rPr>
          <w:rFonts w:ascii="宋体" w:hAnsi="宋体"/>
        </w:rPr>
        <w:br w:type="page"/>
      </w:r>
    </w:p>
    <w:p>
      <w:pPr>
        <w:pStyle w:val="3"/>
      </w:pPr>
      <w:bookmarkStart w:id="20" w:name="_Toc120891614"/>
      <w:r>
        <w:rPr>
          <w:rFonts w:hint="eastAsia"/>
        </w:rPr>
        <w:drawing>
          <wp:anchor distT="0" distB="0" distL="114300" distR="114300" simplePos="0" relativeHeight="251660288" behindDoc="1" locked="0" layoutInCell="1" allowOverlap="1">
            <wp:simplePos x="0" y="0"/>
            <wp:positionH relativeFrom="margin">
              <wp:posOffset>-62230</wp:posOffset>
            </wp:positionH>
            <wp:positionV relativeFrom="paragraph">
              <wp:posOffset>393700</wp:posOffset>
            </wp:positionV>
            <wp:extent cx="5759450" cy="7679055"/>
            <wp:effectExtent l="19050" t="19050" r="12700" b="17145"/>
            <wp:wrapNone/>
            <wp:docPr id="9" name="图片 9" descr="制造许可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制造许可证"/>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759450" cy="7679055"/>
                    </a:xfrm>
                    <a:prstGeom prst="rect">
                      <a:avLst/>
                    </a:prstGeom>
                    <a:noFill/>
                    <a:ln>
                      <a:solidFill>
                        <a:schemeClr val="tx1"/>
                      </a:solidFill>
                    </a:ln>
                    <a:effectLst/>
                  </pic:spPr>
                </pic:pic>
              </a:graphicData>
            </a:graphic>
          </wp:anchor>
        </w:drawing>
      </w:r>
      <w:r>
        <w:rPr>
          <w:rFonts w:hint="eastAsia"/>
        </w:rPr>
        <w:t>特种设备生产许可证</w:t>
      </w:r>
      <w:bookmarkEnd w:id="20"/>
    </w:p>
    <w:p/>
    <w:p>
      <w:r>
        <w:br w:type="page"/>
      </w:r>
    </w:p>
    <w:p>
      <w:pPr>
        <w:pStyle w:val="3"/>
      </w:pPr>
      <w:bookmarkStart w:id="21" w:name="_Toc120891615"/>
      <w:r>
        <w:rPr>
          <w:rFonts w:hint="eastAsia"/>
        </w:rPr>
        <w:t>技术合作协议书</w:t>
      </w:r>
      <w:r>
        <w:rPr>
          <w:rFonts w:hint="eastAsia"/>
          <w:sz w:val="28"/>
          <w:szCs w:val="28"/>
        </w:rPr>
        <w:drawing>
          <wp:anchor distT="0" distB="0" distL="114300" distR="114300" simplePos="0" relativeHeight="251661312" behindDoc="1" locked="0" layoutInCell="1" allowOverlap="1">
            <wp:simplePos x="0" y="0"/>
            <wp:positionH relativeFrom="column">
              <wp:posOffset>83185</wp:posOffset>
            </wp:positionH>
            <wp:positionV relativeFrom="paragraph">
              <wp:posOffset>362585</wp:posOffset>
            </wp:positionV>
            <wp:extent cx="5759450" cy="8479790"/>
            <wp:effectExtent l="19050" t="19050" r="12700" b="16510"/>
            <wp:wrapNone/>
            <wp:docPr id="10" name="图片 10" descr="image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age0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759450" cy="8479790"/>
                    </a:xfrm>
                    <a:prstGeom prst="rect">
                      <a:avLst/>
                    </a:prstGeom>
                    <a:noFill/>
                    <a:ln>
                      <a:solidFill>
                        <a:schemeClr val="tx1"/>
                      </a:solidFill>
                    </a:ln>
                  </pic:spPr>
                </pic:pic>
              </a:graphicData>
            </a:graphic>
          </wp:anchor>
        </w:drawing>
      </w:r>
      <w:bookmarkEnd w:id="21"/>
      <w:r>
        <w:br w:type="page"/>
      </w:r>
    </w:p>
    <w:p>
      <w:pPr>
        <w:widowControl/>
        <w:adjustRightInd/>
        <w:snapToGrid/>
        <w:spacing w:line="240" w:lineRule="auto"/>
        <w:jc w:val="left"/>
        <w:rPr>
          <w:rFonts w:cstheme="majorBidi"/>
          <w:b/>
          <w:bCs/>
          <w:sz w:val="36"/>
          <w:szCs w:val="32"/>
        </w:rPr>
      </w:pPr>
      <w:r>
        <w:rPr>
          <w:rFonts w:hint="eastAsia"/>
          <w:b/>
          <w:sz w:val="28"/>
          <w:szCs w:val="28"/>
        </w:rPr>
        <w:drawing>
          <wp:anchor distT="0" distB="0" distL="114300" distR="114300" simplePos="0" relativeHeight="251662336" behindDoc="1" locked="0" layoutInCell="1" allowOverlap="1">
            <wp:simplePos x="0" y="0"/>
            <wp:positionH relativeFrom="column">
              <wp:posOffset>826770</wp:posOffset>
            </wp:positionH>
            <wp:positionV relativeFrom="paragraph">
              <wp:posOffset>-423545</wp:posOffset>
            </wp:positionV>
            <wp:extent cx="4055745" cy="5708650"/>
            <wp:effectExtent l="12065" t="26035" r="13970" b="13970"/>
            <wp:wrapNone/>
            <wp:docPr id="11" name="图片 11" descr="image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age0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rot="5400000">
                      <a:off x="0" y="0"/>
                      <a:ext cx="4055882" cy="5708642"/>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63360" behindDoc="1" locked="0" layoutInCell="1" allowOverlap="1">
            <wp:simplePos x="0" y="0"/>
            <wp:positionH relativeFrom="margin">
              <wp:align>left</wp:align>
            </wp:positionH>
            <wp:positionV relativeFrom="paragraph">
              <wp:posOffset>5080</wp:posOffset>
            </wp:positionV>
            <wp:extent cx="5267960" cy="7434580"/>
            <wp:effectExtent l="19050" t="19050" r="27940" b="13970"/>
            <wp:wrapNone/>
            <wp:docPr id="12" name="图片 12" descr="18f4c72fe19c7b367f3c6e776f307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8f4c72fe19c7b367f3c6e776f307a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267960" cy="7434580"/>
                    </a:xfrm>
                    <a:prstGeom prst="rect">
                      <a:avLst/>
                    </a:prstGeom>
                    <a:noFill/>
                    <a:ln>
                      <a:solidFill>
                        <a:schemeClr val="tx1"/>
                      </a:solidFill>
                    </a:ln>
                  </pic:spPr>
                </pic:pic>
              </a:graphicData>
            </a:graphic>
          </wp:anchor>
        </w:drawing>
      </w:r>
      <w:r>
        <w:rPr>
          <w:rFonts w:cstheme="majorBidi"/>
          <w:b/>
          <w:bCs/>
          <w:sz w:val="36"/>
          <w:szCs w:val="32"/>
        </w:rPr>
        <w:br w:type="page"/>
      </w:r>
    </w:p>
    <w:p>
      <w:pPr>
        <w:pStyle w:val="3"/>
      </w:pPr>
      <w:bookmarkStart w:id="22" w:name="_Toc120891616"/>
      <w:r>
        <w:rPr>
          <w:rFonts w:hint="eastAsia"/>
        </w:rPr>
        <w:t>质量管理体系认证证书</w:t>
      </w:r>
      <w:bookmarkEnd w:id="22"/>
    </w:p>
    <w:p>
      <w:pPr>
        <w:pStyle w:val="4"/>
      </w:pPr>
      <w:bookmarkStart w:id="23" w:name="_Toc120891617"/>
      <w:r>
        <w:rPr>
          <w:rFonts w:hint="eastAsia"/>
        </w:rPr>
        <w:t>质量管理体系认证证书</w:t>
      </w:r>
      <w:r>
        <w:rPr>
          <w:rFonts w:hint="eastAsia"/>
        </w:rPr>
        <w:drawing>
          <wp:anchor distT="0" distB="0" distL="114300" distR="114300" simplePos="0" relativeHeight="251664384" behindDoc="1" locked="0" layoutInCell="1" allowOverlap="1">
            <wp:simplePos x="0" y="0"/>
            <wp:positionH relativeFrom="margin">
              <wp:align>center</wp:align>
            </wp:positionH>
            <wp:positionV relativeFrom="paragraph">
              <wp:posOffset>1730375</wp:posOffset>
            </wp:positionV>
            <wp:extent cx="7436485" cy="5254625"/>
            <wp:effectExtent l="24130" t="13970" r="17780" b="17780"/>
            <wp:wrapNone/>
            <wp:docPr id="13" name="图片 13" descr="质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质量"/>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rot="5400000">
                      <a:off x="0" y="0"/>
                      <a:ext cx="7436308" cy="5254608"/>
                    </a:xfrm>
                    <a:prstGeom prst="rect">
                      <a:avLst/>
                    </a:prstGeom>
                    <a:noFill/>
                    <a:ln>
                      <a:solidFill>
                        <a:schemeClr val="tx1"/>
                      </a:solidFill>
                    </a:ln>
                  </pic:spPr>
                </pic:pic>
              </a:graphicData>
            </a:graphic>
          </wp:anchor>
        </w:drawing>
      </w:r>
      <w:bookmarkEnd w:id="23"/>
      <w:r>
        <w:br w:type="page"/>
      </w:r>
    </w:p>
    <w:p>
      <w:pPr>
        <w:pStyle w:val="4"/>
      </w:pPr>
      <w:bookmarkStart w:id="24" w:name="_Toc120891618"/>
      <w:r>
        <w:rPr>
          <w:rFonts w:hint="eastAsia"/>
        </w:rPr>
        <w:t>环境管理体系认证证书</w:t>
      </w:r>
      <w:r>
        <w:rPr>
          <w:rFonts w:hint="eastAsia"/>
        </w:rPr>
        <w:drawing>
          <wp:anchor distT="0" distB="0" distL="114300" distR="114300" simplePos="0" relativeHeight="251665408" behindDoc="1" locked="0" layoutInCell="1" allowOverlap="1">
            <wp:simplePos x="0" y="0"/>
            <wp:positionH relativeFrom="margin">
              <wp:align>center</wp:align>
            </wp:positionH>
            <wp:positionV relativeFrom="paragraph">
              <wp:posOffset>1626870</wp:posOffset>
            </wp:positionV>
            <wp:extent cx="8124825" cy="5746115"/>
            <wp:effectExtent l="26987" t="11113" r="18098" b="18097"/>
            <wp:wrapNone/>
            <wp:docPr id="14" name="图片 14" descr="环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环境"/>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rot="5400000">
                      <a:off x="0" y="0"/>
                      <a:ext cx="8124523" cy="5746286"/>
                    </a:xfrm>
                    <a:prstGeom prst="rect">
                      <a:avLst/>
                    </a:prstGeom>
                    <a:noFill/>
                    <a:ln>
                      <a:solidFill>
                        <a:schemeClr val="tx1"/>
                      </a:solidFill>
                    </a:ln>
                  </pic:spPr>
                </pic:pic>
              </a:graphicData>
            </a:graphic>
          </wp:anchor>
        </w:drawing>
      </w:r>
      <w:bookmarkEnd w:id="24"/>
      <w:r>
        <w:br w:type="page"/>
      </w:r>
    </w:p>
    <w:p>
      <w:pPr>
        <w:pStyle w:val="4"/>
      </w:pPr>
      <w:bookmarkStart w:id="25" w:name="_Toc120891619"/>
      <w:r>
        <w:rPr>
          <w:rFonts w:hint="eastAsia"/>
        </w:rPr>
        <w:t>职业健康安全管理体系认证证书</w:t>
      </w:r>
      <w:r>
        <w:rPr>
          <w:rFonts w:hint="eastAsia"/>
        </w:rPr>
        <w:drawing>
          <wp:anchor distT="0" distB="0" distL="114300" distR="114300" simplePos="0" relativeHeight="251666432" behindDoc="1" locked="0" layoutInCell="1" allowOverlap="1">
            <wp:simplePos x="0" y="0"/>
            <wp:positionH relativeFrom="margin">
              <wp:align>center</wp:align>
            </wp:positionH>
            <wp:positionV relativeFrom="paragraph">
              <wp:posOffset>1628140</wp:posOffset>
            </wp:positionV>
            <wp:extent cx="8125460" cy="5752465"/>
            <wp:effectExtent l="24448" t="13652" r="14922" b="14923"/>
            <wp:wrapNone/>
            <wp:docPr id="15" name="图片 15" descr="安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安全"/>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rot="5400000">
                      <a:off x="0" y="0"/>
                      <a:ext cx="8125404" cy="5752284"/>
                    </a:xfrm>
                    <a:prstGeom prst="rect">
                      <a:avLst/>
                    </a:prstGeom>
                    <a:noFill/>
                    <a:ln>
                      <a:solidFill>
                        <a:schemeClr val="tx1"/>
                      </a:solidFill>
                    </a:ln>
                  </pic:spPr>
                </pic:pic>
              </a:graphicData>
            </a:graphic>
          </wp:anchor>
        </w:drawing>
      </w:r>
      <w:bookmarkEnd w:id="25"/>
      <w:r>
        <w:br w:type="page"/>
      </w:r>
    </w:p>
    <w:p>
      <w:pPr>
        <w:pStyle w:val="3"/>
      </w:pPr>
      <w:bookmarkStart w:id="26" w:name="_Toc120891620"/>
      <w:r>
        <w:rPr>
          <w:rFonts w:hint="eastAsia"/>
        </w:rPr>
        <w:t>验收报告</w:t>
      </w:r>
      <w:r>
        <w:rPr>
          <w:rFonts w:hint="eastAsia"/>
        </w:rPr>
        <w:drawing>
          <wp:anchor distT="0" distB="0" distL="114300" distR="114300" simplePos="0" relativeHeight="251667456" behindDoc="1" locked="0" layoutInCell="1" allowOverlap="1">
            <wp:simplePos x="0" y="0"/>
            <wp:positionH relativeFrom="margin">
              <wp:align>center</wp:align>
            </wp:positionH>
            <wp:positionV relativeFrom="paragraph">
              <wp:posOffset>452120</wp:posOffset>
            </wp:positionV>
            <wp:extent cx="5759450" cy="8146415"/>
            <wp:effectExtent l="19050" t="19050" r="12700" b="26035"/>
            <wp:wrapNone/>
            <wp:docPr id="16" name="图片 16" descr="e74044a0e356ddbfe5c43ce5d4d16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e74044a0e356ddbfe5c43ce5d4d16c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759450" cy="8146415"/>
                    </a:xfrm>
                    <a:prstGeom prst="rect">
                      <a:avLst/>
                    </a:prstGeom>
                    <a:noFill/>
                    <a:ln>
                      <a:solidFill>
                        <a:schemeClr val="tx1"/>
                      </a:solidFill>
                    </a:ln>
                  </pic:spPr>
                </pic:pic>
              </a:graphicData>
            </a:graphic>
          </wp:anchor>
        </w:drawing>
      </w:r>
      <w:bookmarkEnd w:id="26"/>
      <w: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68480" behindDoc="1" locked="0" layoutInCell="1" allowOverlap="1">
            <wp:simplePos x="0" y="0"/>
            <wp:positionH relativeFrom="column">
              <wp:posOffset>3810</wp:posOffset>
            </wp:positionH>
            <wp:positionV relativeFrom="paragraph">
              <wp:posOffset>64770</wp:posOffset>
            </wp:positionV>
            <wp:extent cx="5759450" cy="8140700"/>
            <wp:effectExtent l="19050" t="19050" r="12700" b="12700"/>
            <wp:wrapNone/>
            <wp:docPr id="17" name="图片 17" descr="06a07b41543532ee27430af28d7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06a07b41543532ee27430af28d745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759450" cy="8140700"/>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69504" behindDoc="1" locked="0" layoutInCell="1" allowOverlap="1">
            <wp:simplePos x="0" y="0"/>
            <wp:positionH relativeFrom="column">
              <wp:posOffset>3810</wp:posOffset>
            </wp:positionH>
            <wp:positionV relativeFrom="paragraph">
              <wp:posOffset>64770</wp:posOffset>
            </wp:positionV>
            <wp:extent cx="5759450" cy="8155940"/>
            <wp:effectExtent l="19050" t="19050" r="12700" b="16510"/>
            <wp:wrapNone/>
            <wp:docPr id="18" name="图片 18" descr="47b57058fc1636dced46a7ba11c96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47b57058fc1636dced46a7ba11c962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759450" cy="8155940"/>
                    </a:xfrm>
                    <a:prstGeom prst="rect">
                      <a:avLst/>
                    </a:prstGeom>
                    <a:noFill/>
                    <a:ln>
                      <a:solidFill>
                        <a:schemeClr val="tx1"/>
                      </a:solidFill>
                    </a:ln>
                    <a:effectLst/>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0528" behindDoc="1" locked="0" layoutInCell="1" allowOverlap="1">
            <wp:simplePos x="0" y="0"/>
            <wp:positionH relativeFrom="column">
              <wp:posOffset>3810</wp:posOffset>
            </wp:positionH>
            <wp:positionV relativeFrom="paragraph">
              <wp:posOffset>64770</wp:posOffset>
            </wp:positionV>
            <wp:extent cx="5759450" cy="8159750"/>
            <wp:effectExtent l="19050" t="19050" r="12700" b="12700"/>
            <wp:wrapNone/>
            <wp:docPr id="19" name="图片 19" descr="6816a57743221de3fb60c79f639ed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816a57743221de3fb60c79f639ed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759450" cy="8159750"/>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1552" behindDoc="1" locked="0" layoutInCell="1" allowOverlap="1">
            <wp:simplePos x="0" y="0"/>
            <wp:positionH relativeFrom="column">
              <wp:posOffset>3810</wp:posOffset>
            </wp:positionH>
            <wp:positionV relativeFrom="paragraph">
              <wp:posOffset>94615</wp:posOffset>
            </wp:positionV>
            <wp:extent cx="5759450" cy="8100695"/>
            <wp:effectExtent l="19050" t="19050" r="12700" b="14605"/>
            <wp:wrapNone/>
            <wp:docPr id="20" name="图片 20" descr="5720de178f9f3bf2ba5bf2b2e8cdf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5720de178f9f3bf2ba5bf2b2e8cdf5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759450" cy="8100695"/>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2576" behindDoc="1" locked="0" layoutInCell="1" allowOverlap="1">
            <wp:simplePos x="0" y="0"/>
            <wp:positionH relativeFrom="column">
              <wp:posOffset>3810</wp:posOffset>
            </wp:positionH>
            <wp:positionV relativeFrom="paragraph">
              <wp:posOffset>74930</wp:posOffset>
            </wp:positionV>
            <wp:extent cx="5759450" cy="8126730"/>
            <wp:effectExtent l="19050" t="19050" r="12700" b="26670"/>
            <wp:wrapNone/>
            <wp:docPr id="21" name="图片 21" descr="c9b71872bc5a66157261bc986c61c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9b71872bc5a66157261bc986c61c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759450" cy="8126730"/>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3600" behindDoc="1" locked="0" layoutInCell="1" allowOverlap="1">
            <wp:simplePos x="0" y="0"/>
            <wp:positionH relativeFrom="column">
              <wp:posOffset>3810</wp:posOffset>
            </wp:positionH>
            <wp:positionV relativeFrom="paragraph">
              <wp:posOffset>54610</wp:posOffset>
            </wp:positionV>
            <wp:extent cx="5759450" cy="8168005"/>
            <wp:effectExtent l="19050" t="19050" r="12700" b="23495"/>
            <wp:wrapNone/>
            <wp:docPr id="22" name="图片 22" descr="87a67ae30a74ee53de87ed2049ef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7a67ae30a74ee53de87ed2049ef60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759450" cy="8168005"/>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4624" behindDoc="1" locked="0" layoutInCell="1" allowOverlap="1">
            <wp:simplePos x="0" y="0"/>
            <wp:positionH relativeFrom="column">
              <wp:posOffset>3810</wp:posOffset>
            </wp:positionH>
            <wp:positionV relativeFrom="paragraph">
              <wp:posOffset>54610</wp:posOffset>
            </wp:positionV>
            <wp:extent cx="5759450" cy="8177530"/>
            <wp:effectExtent l="19050" t="19050" r="12700" b="13970"/>
            <wp:wrapNone/>
            <wp:docPr id="23" name="图片 23" descr="3e7c2c87c1bd8304c86436aa4dfac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e7c2c87c1bd8304c86436aa4dfac4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59450" cy="8177530"/>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5648" behindDoc="1" locked="0" layoutInCell="1" allowOverlap="1">
            <wp:simplePos x="0" y="0"/>
            <wp:positionH relativeFrom="column">
              <wp:posOffset>3810</wp:posOffset>
            </wp:positionH>
            <wp:positionV relativeFrom="paragraph">
              <wp:posOffset>45085</wp:posOffset>
            </wp:positionV>
            <wp:extent cx="5759450" cy="8185785"/>
            <wp:effectExtent l="19050" t="19050" r="12700" b="24765"/>
            <wp:wrapNone/>
            <wp:docPr id="24" name="图片 24" descr="deb0a39b750c14eb82f84a87d7fd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deb0a39b750c14eb82f84a87d7fd85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759450" cy="8185785"/>
                    </a:xfrm>
                    <a:prstGeom prst="rect">
                      <a:avLst/>
                    </a:prstGeom>
                    <a:noFill/>
                    <a:ln>
                      <a:solidFill>
                        <a:schemeClr val="tx1"/>
                      </a:solidFill>
                    </a:ln>
                  </pic:spPr>
                </pic:pic>
              </a:graphicData>
            </a:graphic>
          </wp:anchor>
        </w:drawing>
      </w:r>
      <w:r>
        <w:rPr>
          <w:rFonts w:cstheme="majorBidi"/>
          <w:b/>
          <w:bCs/>
          <w:sz w:val="36"/>
          <w:szCs w:val="32"/>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76672" behindDoc="1" locked="0" layoutInCell="1" allowOverlap="1">
            <wp:simplePos x="0" y="0"/>
            <wp:positionH relativeFrom="column">
              <wp:posOffset>3810</wp:posOffset>
            </wp:positionH>
            <wp:positionV relativeFrom="paragraph">
              <wp:posOffset>64770</wp:posOffset>
            </wp:positionV>
            <wp:extent cx="5759450" cy="8140700"/>
            <wp:effectExtent l="19050" t="19050" r="12700" b="12700"/>
            <wp:wrapNone/>
            <wp:docPr id="25" name="图片 25" descr="8eba2434f2397bc4acdadfe6e3b9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eba2434f2397bc4acdadfe6e3b93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759450" cy="8140700"/>
                    </a:xfrm>
                    <a:prstGeom prst="rect">
                      <a:avLst/>
                    </a:prstGeom>
                    <a:noFill/>
                    <a:ln>
                      <a:solidFill>
                        <a:schemeClr val="tx1"/>
                      </a:solidFill>
                    </a:ln>
                  </pic:spPr>
                </pic:pic>
              </a:graphicData>
            </a:graphic>
          </wp:anchor>
        </w:drawing>
      </w:r>
      <w:r>
        <w:rPr>
          <w:rFonts w:cstheme="majorBidi"/>
          <w:b/>
          <w:bCs/>
          <w:sz w:val="36"/>
          <w:szCs w:val="32"/>
        </w:rPr>
        <w:br w:type="page"/>
      </w:r>
    </w:p>
    <w:p>
      <w:pPr>
        <w:pStyle w:val="3"/>
      </w:pPr>
      <w:bookmarkStart w:id="27" w:name="_Toc120891621"/>
      <w:r>
        <w:rPr>
          <w:rFonts w:hint="eastAsia"/>
        </w:rPr>
        <w:t>信用等级证书</w:t>
      </w:r>
      <w:bookmarkEnd w:id="27"/>
    </w:p>
    <w:p>
      <w:pPr>
        <w:pStyle w:val="4"/>
      </w:pPr>
      <w:bookmarkStart w:id="28" w:name="_Toc120891622"/>
      <w:r>
        <w:rPr>
          <w:rFonts w:hint="eastAsia"/>
        </w:rPr>
        <w:t>AAA级信用企业</w:t>
      </w:r>
      <w:r>
        <w:rPr>
          <w:rFonts w:hint="eastAsia"/>
        </w:rPr>
        <w:drawing>
          <wp:anchor distT="0" distB="0" distL="114300" distR="114300" simplePos="0" relativeHeight="251677696" behindDoc="1" locked="0" layoutInCell="1" allowOverlap="1">
            <wp:simplePos x="0" y="0"/>
            <wp:positionH relativeFrom="column">
              <wp:posOffset>122555</wp:posOffset>
            </wp:positionH>
            <wp:positionV relativeFrom="paragraph">
              <wp:posOffset>621030</wp:posOffset>
            </wp:positionV>
            <wp:extent cx="5759450" cy="4069080"/>
            <wp:effectExtent l="19050" t="19050" r="12700" b="26670"/>
            <wp:wrapNone/>
            <wp:docPr id="26" name="图片 26" descr="铜牌-横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铜牌-横版"/>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759450" cy="4069080"/>
                    </a:xfrm>
                    <a:prstGeom prst="rect">
                      <a:avLst/>
                    </a:prstGeom>
                    <a:noFill/>
                    <a:ln>
                      <a:solidFill>
                        <a:schemeClr val="tx1"/>
                      </a:solidFill>
                    </a:ln>
                  </pic:spPr>
                </pic:pic>
              </a:graphicData>
            </a:graphic>
          </wp:anchor>
        </w:drawing>
      </w:r>
      <w:bookmarkEnd w:id="28"/>
      <w:r>
        <w:br w:type="page"/>
      </w:r>
    </w:p>
    <w:p>
      <w:pPr>
        <w:pStyle w:val="4"/>
      </w:pPr>
      <w:bookmarkStart w:id="29" w:name="_Toc120891623"/>
      <w:r>
        <w:rPr>
          <w:rFonts w:hint="eastAsia"/>
        </w:rPr>
        <w:t>A</w:t>
      </w:r>
      <w:r>
        <w:t>AA</w:t>
      </w:r>
      <w:r>
        <w:rPr>
          <w:rFonts w:hint="eastAsia"/>
        </w:rPr>
        <w:t>级企业信用等级证书</w:t>
      </w:r>
      <w:r>
        <w:rPr>
          <w:rFonts w:hint="eastAsia"/>
        </w:rPr>
        <w:drawing>
          <wp:anchor distT="0" distB="0" distL="114300" distR="114300" simplePos="0" relativeHeight="251678720" behindDoc="1" locked="0" layoutInCell="1" allowOverlap="1">
            <wp:simplePos x="0" y="0"/>
            <wp:positionH relativeFrom="margin">
              <wp:align>left</wp:align>
            </wp:positionH>
            <wp:positionV relativeFrom="paragraph">
              <wp:posOffset>471805</wp:posOffset>
            </wp:positionV>
            <wp:extent cx="5759450" cy="8152765"/>
            <wp:effectExtent l="19050" t="19050" r="12700" b="19685"/>
            <wp:wrapNone/>
            <wp:docPr id="27" name="图片 27" descr="-1企业信用等级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企业信用等级证书"/>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59450" cy="8152765"/>
                    </a:xfrm>
                    <a:prstGeom prst="rect">
                      <a:avLst/>
                    </a:prstGeom>
                    <a:noFill/>
                    <a:ln>
                      <a:solidFill>
                        <a:schemeClr val="tx1"/>
                      </a:solidFill>
                    </a:ln>
                  </pic:spPr>
                </pic:pic>
              </a:graphicData>
            </a:graphic>
          </wp:anchor>
        </w:drawing>
      </w:r>
      <w:bookmarkEnd w:id="29"/>
      <w:r>
        <w:br w:type="page"/>
      </w:r>
    </w:p>
    <w:p>
      <w:pPr>
        <w:pStyle w:val="4"/>
      </w:pPr>
      <w:bookmarkStart w:id="30" w:name="_Toc120891624"/>
      <w:r>
        <w:rPr>
          <w:rFonts w:hint="eastAsia"/>
        </w:rPr>
        <w:drawing>
          <wp:anchor distT="0" distB="0" distL="114300" distR="114300" simplePos="0" relativeHeight="251679744" behindDoc="1" locked="0" layoutInCell="1" allowOverlap="1">
            <wp:simplePos x="0" y="0"/>
            <wp:positionH relativeFrom="column">
              <wp:posOffset>161925</wp:posOffset>
            </wp:positionH>
            <wp:positionV relativeFrom="paragraph">
              <wp:posOffset>441325</wp:posOffset>
            </wp:positionV>
            <wp:extent cx="5759450" cy="8140700"/>
            <wp:effectExtent l="19050" t="19050" r="12700" b="12700"/>
            <wp:wrapNone/>
            <wp:docPr id="28" name="图片 28" descr="-2企业资信等级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企业资信等级证书"/>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59450" cy="8140700"/>
                    </a:xfrm>
                    <a:prstGeom prst="rect">
                      <a:avLst/>
                    </a:prstGeom>
                    <a:noFill/>
                    <a:ln>
                      <a:solidFill>
                        <a:schemeClr val="tx1"/>
                      </a:solidFill>
                    </a:ln>
                  </pic:spPr>
                </pic:pic>
              </a:graphicData>
            </a:graphic>
          </wp:anchor>
        </w:drawing>
      </w:r>
      <w:r>
        <w:t>AAA</w:t>
      </w:r>
      <w:r>
        <w:rPr>
          <w:rFonts w:hint="eastAsia"/>
        </w:rPr>
        <w:t>级企业资信等级证书</w:t>
      </w:r>
      <w:bookmarkEnd w:id="30"/>
      <w:r>
        <w:br w:type="page"/>
      </w:r>
    </w:p>
    <w:p>
      <w:pPr>
        <w:pStyle w:val="4"/>
      </w:pPr>
      <w:bookmarkStart w:id="31" w:name="_Toc120891625"/>
      <w:r>
        <w:rPr>
          <w:rFonts w:hint="eastAsia"/>
        </w:rPr>
        <w:drawing>
          <wp:anchor distT="0" distB="0" distL="114300" distR="114300" simplePos="0" relativeHeight="251680768" behindDoc="1" locked="0" layoutInCell="1" allowOverlap="1">
            <wp:simplePos x="0" y="0"/>
            <wp:positionH relativeFrom="margin">
              <wp:align>center</wp:align>
            </wp:positionH>
            <wp:positionV relativeFrom="paragraph">
              <wp:posOffset>462280</wp:posOffset>
            </wp:positionV>
            <wp:extent cx="5759450" cy="8143240"/>
            <wp:effectExtent l="19050" t="19050" r="12700" b="10160"/>
            <wp:wrapNone/>
            <wp:docPr id="29" name="图片 29" descr="-3重合同守信用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3重合同守信用证书"/>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59450" cy="8143240"/>
                    </a:xfrm>
                    <a:prstGeom prst="rect">
                      <a:avLst/>
                    </a:prstGeom>
                    <a:noFill/>
                    <a:ln>
                      <a:solidFill>
                        <a:schemeClr val="tx1"/>
                      </a:solidFill>
                    </a:ln>
                  </pic:spPr>
                </pic:pic>
              </a:graphicData>
            </a:graphic>
          </wp:anchor>
        </w:drawing>
      </w:r>
      <w:r>
        <w:rPr>
          <w:rFonts w:hint="eastAsia"/>
        </w:rPr>
        <w:t>A</w:t>
      </w:r>
      <w:r>
        <w:t>AA</w:t>
      </w:r>
      <w:r>
        <w:rPr>
          <w:rFonts w:hint="eastAsia"/>
        </w:rPr>
        <w:t>级重合同守信用证书</w:t>
      </w:r>
      <w:bookmarkEnd w:id="31"/>
      <w:r>
        <w:br w:type="page"/>
      </w:r>
    </w:p>
    <w:p>
      <w:pPr>
        <w:pStyle w:val="4"/>
      </w:pPr>
      <w:bookmarkStart w:id="32" w:name="_Toc120891626"/>
      <w:r>
        <w:rPr>
          <w:rFonts w:hint="eastAsia"/>
        </w:rPr>
        <w:t>A</w:t>
      </w:r>
      <w:r>
        <w:t>AA</w:t>
      </w:r>
      <w:r>
        <w:rPr>
          <w:rFonts w:hint="eastAsia"/>
        </w:rPr>
        <w:t>级诚信经营示范单位证书</w:t>
      </w:r>
      <w:r>
        <w:rPr>
          <w:rFonts w:hint="eastAsia"/>
        </w:rPr>
        <w:drawing>
          <wp:anchor distT="0" distB="0" distL="114300" distR="114300" simplePos="0" relativeHeight="251681792" behindDoc="1" locked="0" layoutInCell="1" allowOverlap="1">
            <wp:simplePos x="0" y="0"/>
            <wp:positionH relativeFrom="margin">
              <wp:align>right</wp:align>
            </wp:positionH>
            <wp:positionV relativeFrom="paragraph">
              <wp:posOffset>352425</wp:posOffset>
            </wp:positionV>
            <wp:extent cx="5759450" cy="8147685"/>
            <wp:effectExtent l="19050" t="19050" r="12700" b="24765"/>
            <wp:wrapNone/>
            <wp:docPr id="30" name="图片 30" descr="-4诚信经营示范单位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4诚信经营示范单位证书"/>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59450" cy="8147685"/>
                    </a:xfrm>
                    <a:prstGeom prst="rect">
                      <a:avLst/>
                    </a:prstGeom>
                    <a:noFill/>
                    <a:ln>
                      <a:solidFill>
                        <a:schemeClr val="tx1"/>
                      </a:solidFill>
                    </a:ln>
                  </pic:spPr>
                </pic:pic>
              </a:graphicData>
            </a:graphic>
          </wp:anchor>
        </w:drawing>
      </w:r>
      <w:bookmarkEnd w:id="32"/>
      <w:r>
        <w:br w:type="page"/>
      </w:r>
    </w:p>
    <w:p>
      <w:pPr>
        <w:pStyle w:val="4"/>
        <w:rPr>
          <w:rFonts w:cstheme="majorBidi"/>
          <w:sz w:val="36"/>
        </w:rPr>
      </w:pPr>
      <w:bookmarkStart w:id="33" w:name="_Toc120891627"/>
      <w:r>
        <w:rPr>
          <w:rFonts w:hint="eastAsia"/>
        </w:rPr>
        <w:t>A</w:t>
      </w:r>
      <w:r>
        <w:t>AA</w:t>
      </w:r>
      <w:r>
        <w:rPr>
          <w:rFonts w:hint="eastAsia"/>
        </w:rPr>
        <w:t>级诚信供应商证书</w:t>
      </w:r>
      <w:r>
        <w:rPr>
          <w:rFonts w:hint="eastAsia"/>
        </w:rPr>
        <w:drawing>
          <wp:anchor distT="0" distB="0" distL="114300" distR="114300" simplePos="0" relativeHeight="251682816" behindDoc="1" locked="0" layoutInCell="1" allowOverlap="1">
            <wp:simplePos x="0" y="0"/>
            <wp:positionH relativeFrom="margin">
              <wp:align>center</wp:align>
            </wp:positionH>
            <wp:positionV relativeFrom="paragraph">
              <wp:posOffset>462280</wp:posOffset>
            </wp:positionV>
            <wp:extent cx="5759450" cy="8140700"/>
            <wp:effectExtent l="19050" t="19050" r="12700" b="12700"/>
            <wp:wrapNone/>
            <wp:docPr id="31" name="图片 31" descr="-5诚信供应商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诚信供应商证书"/>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59450" cy="8140700"/>
                    </a:xfrm>
                    <a:prstGeom prst="rect">
                      <a:avLst/>
                    </a:prstGeom>
                    <a:noFill/>
                    <a:ln>
                      <a:solidFill>
                        <a:schemeClr val="tx1"/>
                      </a:solidFill>
                    </a:ln>
                  </pic:spPr>
                </pic:pic>
              </a:graphicData>
            </a:graphic>
          </wp:anchor>
        </w:drawing>
      </w:r>
      <w:bookmarkEnd w:id="33"/>
      <w:r>
        <w:rPr>
          <w:rFonts w:cstheme="majorBidi"/>
          <w:sz w:val="36"/>
        </w:rPr>
        <w:br w:type="page"/>
      </w:r>
    </w:p>
    <w:p>
      <w:pPr>
        <w:pStyle w:val="2"/>
        <w:rPr>
          <w:rFonts w:cstheme="majorBidi"/>
          <w:sz w:val="36"/>
        </w:rPr>
      </w:pPr>
      <w:bookmarkStart w:id="34" w:name="_Toc120891628"/>
      <w:r>
        <w:rPr>
          <w:rFonts w:hint="eastAsia"/>
        </w:rPr>
        <w:drawing>
          <wp:anchor distT="0" distB="0" distL="114300" distR="114300" simplePos="0" relativeHeight="251683840" behindDoc="1" locked="0" layoutInCell="1" allowOverlap="1">
            <wp:simplePos x="0" y="0"/>
            <wp:positionH relativeFrom="column">
              <wp:posOffset>-213995</wp:posOffset>
            </wp:positionH>
            <wp:positionV relativeFrom="paragraph">
              <wp:posOffset>520700</wp:posOffset>
            </wp:positionV>
            <wp:extent cx="6096635" cy="7412990"/>
            <wp:effectExtent l="19050" t="19050" r="19050" b="16510"/>
            <wp:wrapNone/>
            <wp:docPr id="288" name="图片 288" descr="4d00db8310a60402edccb301c4163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4d00db8310a60402edccb301c4163f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6096553" cy="7412990"/>
                    </a:xfrm>
                    <a:prstGeom prst="rect">
                      <a:avLst/>
                    </a:prstGeom>
                    <a:noFill/>
                    <a:ln>
                      <a:solidFill>
                        <a:schemeClr val="tx1"/>
                      </a:solidFill>
                    </a:ln>
                  </pic:spPr>
                </pic:pic>
              </a:graphicData>
            </a:graphic>
          </wp:anchor>
        </w:drawing>
      </w:r>
      <w:r>
        <w:rPr>
          <w:rFonts w:hint="eastAsia"/>
        </w:rPr>
        <w:t>部分业绩</w:t>
      </w:r>
      <w:bookmarkEnd w:id="34"/>
    </w:p>
    <w:p>
      <w:pPr>
        <w:rPr>
          <w:rFonts w:cstheme="majorBidi"/>
          <w:b/>
          <w:bCs/>
          <w:sz w:val="36"/>
        </w:rPr>
      </w:pPr>
      <w:r>
        <w:rPr>
          <w:rFonts w:cstheme="majorBidi"/>
          <w:b/>
          <w:bCs/>
          <w:sz w:val="36"/>
        </w:rPr>
        <w:br w:type="page"/>
      </w:r>
    </w:p>
    <w:p>
      <w:pPr>
        <w:widowControl/>
        <w:adjustRightInd/>
        <w:snapToGrid/>
        <w:spacing w:line="240" w:lineRule="auto"/>
        <w:jc w:val="left"/>
        <w:rPr>
          <w:rFonts w:cstheme="majorBidi"/>
          <w:b/>
          <w:bCs/>
          <w:sz w:val="36"/>
          <w:szCs w:val="32"/>
        </w:rPr>
      </w:pPr>
      <w:r>
        <w:rPr>
          <w:rFonts w:hint="eastAsia"/>
        </w:rPr>
        <w:drawing>
          <wp:anchor distT="0" distB="0" distL="114300" distR="114300" simplePos="0" relativeHeight="251684864" behindDoc="1" locked="0" layoutInCell="1" allowOverlap="1">
            <wp:simplePos x="0" y="0"/>
            <wp:positionH relativeFrom="column">
              <wp:posOffset>3810</wp:posOffset>
            </wp:positionH>
            <wp:positionV relativeFrom="paragraph">
              <wp:posOffset>84455</wp:posOffset>
            </wp:positionV>
            <wp:extent cx="5759450" cy="7271385"/>
            <wp:effectExtent l="19050" t="19050" r="12700" b="24765"/>
            <wp:wrapNone/>
            <wp:docPr id="289" name="图片 289" descr="7c8101c59a613bce85111efa9228a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7c8101c59a613bce85111efa9228a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759450" cy="7271385"/>
                    </a:xfrm>
                    <a:prstGeom prst="rect">
                      <a:avLst/>
                    </a:prstGeom>
                    <a:noFill/>
                    <a:ln>
                      <a:solidFill>
                        <a:schemeClr val="tx1"/>
                      </a:solidFill>
                    </a:ln>
                  </pic:spPr>
                </pic:pic>
              </a:graphicData>
            </a:graphic>
          </wp:anchor>
        </w:drawing>
      </w:r>
    </w:p>
    <w:sectPr>
      <w:headerReference r:id="rId10" w:type="default"/>
      <w:footerReference r:id="rId11" w:type="default"/>
      <w:pgSz w:w="11906" w:h="16838"/>
      <w:pgMar w:top="1559" w:right="1418" w:bottom="1134" w:left="1418" w:header="1417" w:footer="850" w:gutter="0"/>
      <w:cols w:space="42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0000000000000000000"/>
    <w:charset w:val="86"/>
    <w:family w:val="auto"/>
    <w:pitch w:val="default"/>
    <w:sig w:usb0="00000000" w:usb1="00000000" w:usb2="00000000" w:usb3="00000000" w:csb0="00000000" w:csb1="00000000"/>
  </w:font>
  <w:font w:name="等线">
    <w:altName w:val="微软雅黑"/>
    <w:panose1 w:val="00000000000000000000"/>
    <w:charset w:val="00"/>
    <w:family w:val="auto"/>
    <w:pitch w:val="default"/>
    <w:sig w:usb0="00000000" w:usb1="00000000" w:usb2="00000000" w:usb3="00000000" w:csb0="00000000" w:csb1="00000000"/>
  </w:font>
  <w:font w:name="等线 Light">
    <w:altName w:val="宋体"/>
    <w:panose1 w:val="02010600030101010101"/>
    <w:charset w:val="86"/>
    <w:family w:val="auto"/>
    <w:pitch w:val="default"/>
    <w:sig w:usb0="00000000" w:usb1="00000000" w:usb2="00000016" w:usb3="00000000" w:csb0="0004000F" w:csb1="00000000"/>
  </w:font>
  <w:font w:name="方正楷体简体">
    <w:altName w:val="宋体"/>
    <w:panose1 w:val="00000000000000000000"/>
    <w:charset w:val="86"/>
    <w:family w:val="auto"/>
    <w:pitch w:val="default"/>
    <w:sig w:usb0="00000000" w:usb1="00000000" w:usb2="00000010" w:usb3="00000000" w:csb0="00040000" w:csb1="00000000"/>
  </w:font>
  <w:font w:name="HYa6gj">
    <w:altName w:val="宋体"/>
    <w:panose1 w:val="00000000000000000000"/>
    <w:charset w:val="00"/>
    <w:family w:val="auto"/>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 w:name="Tahoma">
    <w:panose1 w:val="020B0604030504040204"/>
    <w:charset w:val="00"/>
    <w:family w:val="swiss"/>
    <w:pitch w:val="default"/>
    <w:sig w:usb0="E1002EFF" w:usb1="C000605B" w:usb2="00000029" w:usb3="00000000" w:csb0="200101FF" w:csb1="20280000"/>
  </w:font>
  <w:font w:name="Symbol">
    <w:panose1 w:val="05050102010706020507"/>
    <w:charset w:val="02"/>
    <w:family w:val="roman"/>
    <w:pitch w:val="default"/>
    <w:sig w:usb0="00000000" w:usb1="00000000" w:usb2="00000000" w:usb3="00000000" w:csb0="80000000" w:csb1="00000000"/>
  </w:font>
  <w:font w:name="仿宋GB2312">
    <w:altName w:val="Times New Roman"/>
    <w:panose1 w:val="00000000000000000000"/>
    <w:charset w:val="00"/>
    <w:family w:val="auto"/>
    <w:pitch w:val="default"/>
    <w:sig w:usb0="00000000" w:usb1="00000000" w:usb2="00000000" w:usb3="00000000" w:csb0="00000001"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caps/>
      </w:rPr>
    </w:pPr>
    <w:r>
      <w:rPr>
        <w:caps/>
      </w:rPr>
      <mc:AlternateContent>
        <mc:Choice Requires="wps">
          <w:drawing>
            <wp:anchor distT="0" distB="0" distL="114300" distR="114300" simplePos="0" relativeHeight="251689984" behindDoc="0" locked="0" layoutInCell="1" allowOverlap="1">
              <wp:simplePos x="0" y="0"/>
              <wp:positionH relativeFrom="margin">
                <wp:align>right</wp:align>
              </wp:positionH>
              <wp:positionV relativeFrom="paragraph">
                <wp:posOffset>-36195</wp:posOffset>
              </wp:positionV>
              <wp:extent cx="6005195" cy="16510"/>
              <wp:effectExtent l="0" t="0" r="33655" b="22225"/>
              <wp:wrapNone/>
              <wp:docPr id="6" name="直接连接符 6"/>
              <wp:cNvGraphicFramePr/>
              <a:graphic xmlns:a="http://schemas.openxmlformats.org/drawingml/2006/main">
                <a:graphicData uri="http://schemas.microsoft.com/office/word/2010/wordprocessingShape">
                  <wps:wsp>
                    <wps:cNvCnPr/>
                    <wps:spPr>
                      <a:xfrm>
                        <a:off x="0" y="0"/>
                        <a:ext cx="6005384" cy="16476"/>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6" o:spid="_x0000_s1026" o:spt="20" style="position:absolute;left:0pt;margin-top:-2.85pt;height:1.3pt;width:472.85pt;mso-position-horizontal:right;mso-position-horizontal-relative:margin;z-index:251689984;mso-width-relative:page;mso-height-relative:page;" filled="f" stroked="t" coordsize="21600,21600" o:gfxdata="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IK2xXXAAAABgEAAA8AAAAAAAAAAQAgAAAAIgAAAGRycy9kb3ducmV2LnhtbFBLAQIUABQAAAAI&#10;AIdO4kB76w/X7gEAALYDAAAOAAAAAAAAAAEAIAAAACYBAABkcnMvZTJvRG9jLnhtbFBLBQYAAAAA&#10;BgAGAFkBAACGBQAAAAA=&#10;">
              <v:fill on="f" focussize="0,0"/>
              <v:stroke weight="1.5pt" color="#00B0F0 [3204]" miterlimit="8" joinstyle="miter"/>
              <v:imagedata o:title=""/>
              <o:lock v:ext="edit" aspectratio="f"/>
            </v:line>
          </w:pict>
        </mc:Fallback>
      </mc:AlternateContent>
    </w:r>
    <w:r>
      <w:rPr>
        <w:caps/>
      </w:rPr>
      <w:fldChar w:fldCharType="begin"/>
    </w:r>
    <w:r>
      <w:rPr>
        <w:caps/>
      </w:rPr>
      <w:instrText xml:space="preserve">PAGE   \* MERGEFORMAT</w:instrText>
    </w:r>
    <w:r>
      <w:rPr>
        <w:caps/>
      </w:rPr>
      <w:fldChar w:fldCharType="separate"/>
    </w:r>
    <w:r>
      <w:rPr>
        <w:caps/>
        <w:lang w:val="zh-CN"/>
      </w:rPr>
      <w:t>2</w:t>
    </w:r>
    <w:r>
      <w:rPr>
        <w:cap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caps/>
      </w:rPr>
    </w:pPr>
    <w:r>
      <w:rPr>
        <w:caps/>
      </w:rPr>
      <mc:AlternateContent>
        <mc:Choice Requires="wps">
          <w:drawing>
            <wp:anchor distT="0" distB="0" distL="114300" distR="114300" simplePos="0" relativeHeight="251692032" behindDoc="0" locked="0" layoutInCell="1" allowOverlap="1">
              <wp:simplePos x="0" y="0"/>
              <wp:positionH relativeFrom="margin">
                <wp:posOffset>-34925</wp:posOffset>
              </wp:positionH>
              <wp:positionV relativeFrom="paragraph">
                <wp:posOffset>-60960</wp:posOffset>
              </wp:positionV>
              <wp:extent cx="5774690" cy="8255"/>
              <wp:effectExtent l="0" t="0" r="35560" b="30480"/>
              <wp:wrapNone/>
              <wp:docPr id="3" name="直接连接符 3"/>
              <wp:cNvGraphicFramePr/>
              <a:graphic xmlns:a="http://schemas.openxmlformats.org/drawingml/2006/main">
                <a:graphicData uri="http://schemas.microsoft.com/office/word/2010/wordprocessingShape">
                  <wps:wsp>
                    <wps:cNvCnPr/>
                    <wps:spPr>
                      <a:xfrm>
                        <a:off x="0" y="0"/>
                        <a:ext cx="5774724" cy="823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 o:spid="_x0000_s1026" o:spt="20" style="position:absolute;left:0pt;margin-left:-2.75pt;margin-top:-4.8pt;height:0.65pt;width:454.7pt;mso-position-horizontal-relative:margin;z-index:251692032;mso-width-relative:page;mso-height-relative:page;" filled="f" stroked="t" coordsize="21600,21600" o:gfxdata="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B4vB62QAAAAgBAAAPAAAAAAAAAAEAIAAAACIAAABkcnMvZG93bnJldi54bWxQSwECFAAUAAAA&#10;CACHTuJAeDKbnu0BAAC1AwAADgAAAAAAAAABACAAAAAoAQAAZHJzL2Uyb0RvYy54bWxQSwUGAAAA&#10;AAYABgBZAQAAhwUAAAAA&#10;">
              <v:fill on="f" focussize="0,0"/>
              <v:stroke weight="1.5pt" color="#00B0F0 [3204]" miterlimit="8" joinstyle="miter"/>
              <v:imagedata o:title=""/>
              <o:lock v:ext="edit" aspectratio="f"/>
            </v:line>
          </w:pict>
        </mc:Fallback>
      </mc:AlternateContent>
    </w:r>
    <w:r>
      <w:rPr>
        <w:caps/>
      </w:rPr>
      <w:fldChar w:fldCharType="begin"/>
    </w:r>
    <w:r>
      <w:rPr>
        <w:caps/>
      </w:rPr>
      <w:instrText xml:space="preserve">PAGE   \* MERGEFORMAT</w:instrText>
    </w:r>
    <w:r>
      <w:rPr>
        <w:caps/>
      </w:rPr>
      <w:fldChar w:fldCharType="separate"/>
    </w:r>
    <w:r>
      <w:rPr>
        <w:caps/>
        <w:lang w:val="zh-CN"/>
      </w:rPr>
      <w:t>2</w:t>
    </w:r>
    <w:r>
      <w:rPr>
        <w:caps/>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caps/>
      </w:rPr>
    </w:pPr>
    <w:r>
      <w:rPr>
        <w:caps/>
      </w:rPr>
      <mc:AlternateContent>
        <mc:Choice Requires="wps">
          <w:drawing>
            <wp:anchor distT="0" distB="0" distL="114300" distR="114300" simplePos="0" relativeHeight="251699200" behindDoc="0" locked="0" layoutInCell="1" allowOverlap="1">
              <wp:simplePos x="0" y="0"/>
              <wp:positionH relativeFrom="margin">
                <wp:posOffset>53975</wp:posOffset>
              </wp:positionH>
              <wp:positionV relativeFrom="paragraph">
                <wp:posOffset>-232410</wp:posOffset>
              </wp:positionV>
              <wp:extent cx="8930005" cy="8255"/>
              <wp:effectExtent l="0" t="0" r="24130" b="30480"/>
              <wp:wrapNone/>
              <wp:docPr id="40" name="直接连接符 40"/>
              <wp:cNvGraphicFramePr/>
              <a:graphic xmlns:a="http://schemas.openxmlformats.org/drawingml/2006/main">
                <a:graphicData uri="http://schemas.microsoft.com/office/word/2010/wordprocessingShape">
                  <wps:wsp>
                    <wps:cNvCnPr/>
                    <wps:spPr>
                      <a:xfrm>
                        <a:off x="0" y="0"/>
                        <a:ext cx="8929816" cy="8238"/>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40" o:spid="_x0000_s1026" o:spt="20" style="position:absolute;left:0pt;margin-left:4.25pt;margin-top:-18.3pt;height:0.65pt;width:703.15pt;mso-position-horizontal-relative:margin;z-index:251699200;mso-width-relative:page;mso-height-relative:page;" filled="f" stroked="t" coordsize="21600,21600" o:gfxdata="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ZtXONkAAAAKAQAADwAAAAAAAAABACAAAAAiAAAAZHJzL2Rvd25yZXYueG1sUEsBAhQAFAAAAAgA&#10;h07iQJHyl9XrAQAAtwMAAA4AAAAAAAAAAQAgAAAAKAEAAGRycy9lMm9Eb2MueG1sUEsFBgAAAAAG&#10;AAYAWQEAAIUFAAAAAA==&#10;">
              <v:fill on="f" focussize="0,0"/>
              <v:stroke weight="1.5pt" color="#00B0F0 [3204]" miterlimit="8" joinstyle="miter"/>
              <v:imagedata o:title=""/>
              <o:lock v:ext="edit" aspectratio="f"/>
            </v:line>
          </w:pict>
        </mc:Fallback>
      </mc:AlternateContent>
    </w:r>
    <w:r>
      <w:rPr>
        <w:caps/>
      </w:rPr>
      <w:fldChar w:fldCharType="begin"/>
    </w:r>
    <w:r>
      <w:rPr>
        <w:caps/>
      </w:rPr>
      <w:instrText xml:space="preserve">PAGE   \* MERGEFORMAT</w:instrText>
    </w:r>
    <w:r>
      <w:rPr>
        <w:caps/>
      </w:rPr>
      <w:fldChar w:fldCharType="separate"/>
    </w:r>
    <w:r>
      <w:rPr>
        <w:caps/>
        <w:lang w:val="zh-CN"/>
      </w:rPr>
      <w:t>2</w:t>
    </w:r>
    <w:r>
      <w:rPr>
        <w:caps/>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rPr>
        <w:caps/>
      </w:rPr>
    </w:pPr>
    <w:r>
      <w:rPr>
        <w:caps/>
      </w:rPr>
      <mc:AlternateContent>
        <mc:Choice Requires="wps">
          <w:drawing>
            <wp:anchor distT="0" distB="0" distL="114300" distR="114300" simplePos="0" relativeHeight="251700224" behindDoc="0" locked="0" layoutInCell="1" allowOverlap="1">
              <wp:simplePos x="0" y="0"/>
              <wp:positionH relativeFrom="margin">
                <wp:posOffset>54610</wp:posOffset>
              </wp:positionH>
              <wp:positionV relativeFrom="paragraph">
                <wp:posOffset>-45085</wp:posOffset>
              </wp:positionV>
              <wp:extent cx="5727065" cy="0"/>
              <wp:effectExtent l="0" t="0" r="0" b="0"/>
              <wp:wrapNone/>
              <wp:docPr id="41" name="直接连接符 41"/>
              <wp:cNvGraphicFramePr/>
              <a:graphic xmlns:a="http://schemas.openxmlformats.org/drawingml/2006/main">
                <a:graphicData uri="http://schemas.microsoft.com/office/word/2010/wordprocessingShape">
                  <wps:wsp>
                    <wps:cNvCnPr/>
                    <wps:spPr>
                      <a:xfrm>
                        <a:off x="0" y="0"/>
                        <a:ext cx="5727185" cy="0"/>
                      </a:xfrm>
                      <a:prstGeom prst="line">
                        <a:avLst/>
                      </a:prstGeom>
                      <a:ln w="1905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41" o:spid="_x0000_s1026" o:spt="20" style="position:absolute;left:0pt;margin-left:4.3pt;margin-top:-3.55pt;height:0pt;width:450.95pt;mso-position-horizontal-relative:margin;z-index:251700224;mso-width-relative:page;mso-height-relative:page;" filled="f" stroked="t" coordsize="21600,21600" o:gfxdata="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dOyZp&#10;1QAAAAcBAAAPAAAAAAAAAAEAIAAAACIAAABkcnMvZG93bnJldi54bWxQSwECFAAUAAAACACHTuJA&#10;Ms/DausBAAC0AwAADgAAAAAAAAABACAAAAAkAQAAZHJzL2Uyb0RvYy54bWxQSwUGAAAAAAYABgBZ&#10;AQAAgQUAAAAA&#10;">
              <v:fill on="f" focussize="0,0"/>
              <v:stroke weight="1.5pt" color="#00B0F0 [3204]" miterlimit="8" joinstyle="miter"/>
              <v:imagedata o:title=""/>
              <o:lock v:ext="edit" aspectratio="f"/>
            </v:line>
          </w:pict>
        </mc:Fallback>
      </mc:AlternateContent>
    </w:r>
    <w:r>
      <w:rPr>
        <w:caps/>
      </w:rPr>
      <w:fldChar w:fldCharType="begin"/>
    </w:r>
    <w:r>
      <w:rPr>
        <w:caps/>
      </w:rPr>
      <w:instrText xml:space="preserve">PAGE   \* MERGEFORMAT</w:instrText>
    </w:r>
    <w:r>
      <w:rPr>
        <w:caps/>
      </w:rPr>
      <w:fldChar w:fldCharType="separate"/>
    </w:r>
    <w:r>
      <w:rPr>
        <w:caps/>
        <w:lang w:val="zh-CN"/>
      </w:rPr>
      <w:t>2</w:t>
    </w:r>
    <w:r>
      <w:rPr>
        <w:cap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b/>
        <w:sz w:val="21"/>
        <w:szCs w:val="21"/>
      </w:rPr>
    </w:pPr>
    <w:r>
      <w:rPr>
        <w:b/>
        <w:sz w:val="21"/>
        <w:szCs w:val="21"/>
      </w:rPr>
      <mc:AlternateContent>
        <mc:Choice Requires="wps">
          <w:drawing>
            <wp:anchor distT="0" distB="0" distL="114300" distR="114300" simplePos="0" relativeHeight="251687936" behindDoc="0" locked="0" layoutInCell="1" allowOverlap="1">
              <wp:simplePos x="0" y="0"/>
              <wp:positionH relativeFrom="margin">
                <wp:posOffset>-109220</wp:posOffset>
              </wp:positionH>
              <wp:positionV relativeFrom="paragraph">
                <wp:posOffset>195580</wp:posOffset>
              </wp:positionV>
              <wp:extent cx="6246495" cy="10795"/>
              <wp:effectExtent l="19050" t="19050" r="20955" b="27305"/>
              <wp:wrapNone/>
              <wp:docPr id="2" name="直接连接符 2"/>
              <wp:cNvGraphicFramePr/>
              <a:graphic xmlns:a="http://schemas.openxmlformats.org/drawingml/2006/main">
                <a:graphicData uri="http://schemas.microsoft.com/office/word/2010/wordprocessingShape">
                  <wps:wsp>
                    <wps:cNvCnPr/>
                    <wps:spPr>
                      <a:xfrm>
                        <a:off x="0" y="0"/>
                        <a:ext cx="6246513" cy="10813"/>
                      </a:xfrm>
                      <a:prstGeom prst="line">
                        <a:avLst/>
                      </a:prstGeom>
                      <a:ln w="3810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8.6pt;margin-top:15.4pt;height:0.85pt;width:491.85pt;mso-position-horizontal-relative:margin;z-index:251687936;mso-width-relative:page;mso-height-relative:page;" filled="f" stroked="t" coordsize="21600,21600" o:gfxdata="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acCZfYAAAACQEAAA8AAAAAAAAAAQAgAAAAIgAAAGRycy9kb3ducmV2LnhtbFBLAQIUABQAAAAI&#10;AIdO4kBCU7gA7QEAALYDAAAOAAAAAAAAAAEAIAAAACcBAABkcnMvZTJvRG9jLnhtbFBLBQYAAAAA&#10;BgAGAFkBAACGBQAAAAA=&#10;">
              <v:fill on="f" focussize="0,0"/>
              <v:stroke weight="3pt" color="#00B0F0 [3204]" miterlimit="8" joinstyle="miter"/>
              <v:imagedata o:title=""/>
              <o:lock v:ext="edit" aspectratio="f"/>
            </v:line>
          </w:pict>
        </mc:Fallback>
      </mc:AlternateContent>
    </w:r>
    <w:r>
      <w:rPr>
        <w:b/>
        <w:sz w:val="21"/>
        <w:szCs w:val="21"/>
      </w:rPr>
      <mc:AlternateContent>
        <mc:Choice Requires="wps">
          <w:drawing>
            <wp:anchor distT="0" distB="0" distL="114300" distR="114300" simplePos="0" relativeHeight="251686912" behindDoc="0" locked="0" layoutInCell="1" allowOverlap="1">
              <wp:simplePos x="0" y="0"/>
              <wp:positionH relativeFrom="margin">
                <wp:posOffset>24765</wp:posOffset>
              </wp:positionH>
              <wp:positionV relativeFrom="paragraph">
                <wp:posOffset>156845</wp:posOffset>
              </wp:positionV>
              <wp:extent cx="6035675" cy="0"/>
              <wp:effectExtent l="0" t="19050" r="22225" b="19050"/>
              <wp:wrapNone/>
              <wp:docPr id="1" name="直接连接符 1"/>
              <wp:cNvGraphicFramePr/>
              <a:graphic xmlns:a="http://schemas.openxmlformats.org/drawingml/2006/main">
                <a:graphicData uri="http://schemas.microsoft.com/office/word/2010/wordprocessingShape">
                  <wps:wsp>
                    <wps:cNvCnPr/>
                    <wps:spPr>
                      <a:xfrm>
                        <a:off x="0" y="0"/>
                        <a:ext cx="6035761"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 o:spid="_x0000_s1026" o:spt="20" style="position:absolute;left:0pt;margin-left:1.95pt;margin-top:12.35pt;height:0pt;width:475.25pt;mso-position-horizontal-relative:margin;z-index:251686912;mso-width-relative:page;mso-height-relative:page;" filled="f" stroked="t" coordsize="21600,21600" o:gfxdata="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SqBbe1wAA&#10;AAcBAAAPAAAAAAAAAAEAIAAAACIAAABkcnMvZG93bnJldi54bWxQSwECFAAUAAAACACHTuJA7IvO&#10;QuYBAACyAwAADgAAAAAAAAABACAAAAAmAQAAZHJzL2Uyb0RvYy54bWxQSwUGAAAAAAYABgBZAQAA&#10;fgUAAAAA&#10;">
              <v:fill on="f" focussize="0,0"/>
              <v:stroke weight="2.25pt" color="#FF0000 [3204]" miterlimit="8" joinstyle="miter"/>
              <v:imagedata o:title=""/>
              <o:lock v:ext="edit" aspectratio="f"/>
            </v:line>
          </w:pict>
        </mc:Fallback>
      </mc:AlternateContent>
    </w:r>
    <w:r>
      <w:rPr>
        <w:rFonts w:hint="eastAsia" w:ascii="宋体" w:hAnsi="宋体" w:cs="宋体"/>
        <w:b/>
        <w:sz w:val="21"/>
        <w:szCs w:val="21"/>
      </w:rPr>
      <w:t>富士电梯制造（惠州）有限公司</w:t>
    </w:r>
    <w:r>
      <w:rPr>
        <w:b/>
        <w:sz w:val="21"/>
        <w:szCs w:val="21"/>
      </w:rPr>
      <w:drawing>
        <wp:anchor distT="0" distB="0" distL="114300" distR="114300" simplePos="0" relativeHeight="251688960" behindDoc="1" locked="0" layoutInCell="1" allowOverlap="1">
          <wp:simplePos x="0" y="0"/>
          <wp:positionH relativeFrom="column">
            <wp:posOffset>57150</wp:posOffset>
          </wp:positionH>
          <wp:positionV relativeFrom="paragraph">
            <wp:posOffset>-203835</wp:posOffset>
          </wp:positionV>
          <wp:extent cx="738505" cy="335280"/>
          <wp:effectExtent l="0" t="0" r="4445" b="825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738554" cy="334981"/>
                  </a:xfrm>
                  <a:prstGeom prst="rect">
                    <a:avLst/>
                  </a:prstGeom>
                </pic:spPr>
              </pic:pic>
            </a:graphicData>
          </a:graphic>
        </wp:anchor>
      </w:drawing>
    </w:r>
    <w:r>
      <w:rPr>
        <w:rFonts w:hint="eastAsia"/>
        <w:b/>
        <w:sz w:val="21"/>
        <w:szCs w:val="21"/>
      </w:rPr>
      <w:t>报价文件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sz w:val="21"/>
        <w:szCs w:val="21"/>
      </w:rPr>
    </w:pPr>
    <w:r>
      <w:rPr>
        <w:b/>
        <w:sz w:val="21"/>
        <w:szCs w:val="21"/>
      </w:rPr>
      <mc:AlternateContent>
        <mc:Choice Requires="wps">
          <w:drawing>
            <wp:anchor distT="0" distB="0" distL="114300" distR="114300" simplePos="0" relativeHeight="251696128" behindDoc="0" locked="0" layoutInCell="1" allowOverlap="1">
              <wp:simplePos x="0" y="0"/>
              <wp:positionH relativeFrom="margin">
                <wp:posOffset>-140335</wp:posOffset>
              </wp:positionH>
              <wp:positionV relativeFrom="paragraph">
                <wp:posOffset>203835</wp:posOffset>
              </wp:positionV>
              <wp:extent cx="9267190" cy="48895"/>
              <wp:effectExtent l="19050" t="19050" r="29210" b="27305"/>
              <wp:wrapNone/>
              <wp:docPr id="32" name="直接连接符 32"/>
              <wp:cNvGraphicFramePr/>
              <a:graphic xmlns:a="http://schemas.openxmlformats.org/drawingml/2006/main">
                <a:graphicData uri="http://schemas.microsoft.com/office/word/2010/wordprocessingShape">
                  <wps:wsp>
                    <wps:cNvCnPr/>
                    <wps:spPr>
                      <a:xfrm>
                        <a:off x="0" y="0"/>
                        <a:ext cx="9267207" cy="48964"/>
                      </a:xfrm>
                      <a:prstGeom prst="line">
                        <a:avLst/>
                      </a:prstGeom>
                      <a:ln w="3810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2" o:spid="_x0000_s1026" o:spt="20" style="position:absolute;left:0pt;margin-left:-11.05pt;margin-top:16.05pt;height:3.85pt;width:729.7pt;mso-position-horizontal-relative:margin;z-index:251696128;mso-width-relative:page;mso-height-relative:page;" filled="f" stroked="t" coordsize="21600,21600" o:gfxdata="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PMbb/2AAAAAoBAAAPAAAAAAAAAAEAIAAAACIAAABkcnMvZG93bnJldi54bWxQSwECFAAUAAAA&#10;CACHTuJAcyCjIu4BAAC4AwAADgAAAAAAAAABACAAAAAnAQAAZHJzL2Uyb0RvYy54bWxQSwUGAAAA&#10;AAYABgBZAQAAhwUAAAAA&#10;">
              <v:fill on="f" focussize="0,0"/>
              <v:stroke weight="3pt" color="#00B0F0 [3204]" miterlimit="8" joinstyle="miter"/>
              <v:imagedata o:title=""/>
              <o:lock v:ext="edit" aspectratio="f"/>
            </v:line>
          </w:pict>
        </mc:Fallback>
      </mc:AlternateContent>
    </w:r>
    <w:r>
      <w:rPr>
        <w:b/>
        <w:sz w:val="21"/>
        <w:szCs w:val="21"/>
      </w:rPr>
      <mc:AlternateContent>
        <mc:Choice Requires="wps">
          <w:drawing>
            <wp:anchor distT="0" distB="0" distL="114300" distR="114300" simplePos="0" relativeHeight="251694080" behindDoc="0" locked="0" layoutInCell="1" allowOverlap="1">
              <wp:simplePos x="0" y="0"/>
              <wp:positionH relativeFrom="margin">
                <wp:posOffset>-36195</wp:posOffset>
              </wp:positionH>
              <wp:positionV relativeFrom="paragraph">
                <wp:posOffset>148590</wp:posOffset>
              </wp:positionV>
              <wp:extent cx="9039225" cy="40640"/>
              <wp:effectExtent l="19050" t="19050" r="28575" b="35560"/>
              <wp:wrapNone/>
              <wp:docPr id="5" name="直接连接符 5"/>
              <wp:cNvGraphicFramePr/>
              <a:graphic xmlns:a="http://schemas.openxmlformats.org/drawingml/2006/main">
                <a:graphicData uri="http://schemas.microsoft.com/office/word/2010/wordprocessingShape">
                  <wps:wsp>
                    <wps:cNvCnPr/>
                    <wps:spPr>
                      <a:xfrm>
                        <a:off x="0" y="0"/>
                        <a:ext cx="9039242" cy="4065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5" o:spid="_x0000_s1026" o:spt="20" style="position:absolute;left:0pt;margin-left:-2.85pt;margin-top:11.7pt;height:3.2pt;width:711.75pt;mso-position-horizontal-relative:margin;z-index:251694080;mso-width-relative:page;mso-height-relative:page;" filled="f" stroked="t" coordsize="21600,21600" o:gfxdata="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Gxqt2gAAAAkBAAAPAAAAAAAAAAEAIAAAACIAAABkcnMvZG93bnJldi54bWxQSwECFAAUAAAA&#10;CACHTuJAOyjLuOwBAAC2AwAADgAAAAAAAAABACAAAAApAQAAZHJzL2Uyb0RvYy54bWxQSwUGAAAA&#10;AAYABgBZAQAAhwUAAAAA&#10;">
              <v:fill on="f" focussize="0,0"/>
              <v:stroke weight="2.25pt" color="#FF0000 [3204]" miterlimit="8" joinstyle="miter"/>
              <v:imagedata o:title=""/>
              <o:lock v:ext="edit" aspectratio="f"/>
            </v:line>
          </w:pict>
        </mc:Fallback>
      </mc:AlternateContent>
    </w:r>
    <w:r>
      <w:rPr>
        <w:kern w:val="0"/>
        <w:sz w:val="20"/>
        <w:szCs w:val="20"/>
      </w:rPr>
      <w:drawing>
        <wp:anchor distT="0" distB="0" distL="114300" distR="114300" simplePos="0" relativeHeight="251682816" behindDoc="1" locked="0" layoutInCell="1" allowOverlap="1">
          <wp:simplePos x="0" y="0"/>
          <wp:positionH relativeFrom="column">
            <wp:posOffset>90805</wp:posOffset>
          </wp:positionH>
          <wp:positionV relativeFrom="paragraph">
            <wp:posOffset>-158750</wp:posOffset>
          </wp:positionV>
          <wp:extent cx="606425" cy="258445"/>
          <wp:effectExtent l="0" t="0" r="3175" b="8255"/>
          <wp:wrapNone/>
          <wp:docPr id="302" name="图片 302" descr="ps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psb[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606425" cy="258445"/>
                  </a:xfrm>
                  <a:prstGeom prst="rect">
                    <a:avLst/>
                  </a:prstGeom>
                  <a:noFill/>
                  <a:ln>
                    <a:noFill/>
                  </a:ln>
                </pic:spPr>
              </pic:pic>
            </a:graphicData>
          </a:graphic>
        </wp:anchor>
      </w:drawing>
    </w:r>
    <w:r>
      <w:rPr>
        <w:rFonts w:hint="eastAsia" w:ascii="宋体" w:hAnsi="宋体" w:cs="宋体"/>
        <w:b/>
        <w:sz w:val="21"/>
        <w:szCs w:val="21"/>
      </w:rPr>
      <w:t>富士电梯制造（惠州）有限公司报价书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right"/>
      <w:rPr>
        <w:sz w:val="21"/>
        <w:szCs w:val="21"/>
      </w:rPr>
    </w:pPr>
    <w:r>
      <w:rPr>
        <w:b/>
        <w:sz w:val="21"/>
        <w:szCs w:val="21"/>
      </w:rPr>
      <mc:AlternateContent>
        <mc:Choice Requires="wps">
          <w:drawing>
            <wp:anchor distT="0" distB="0" distL="114300" distR="114300" simplePos="0" relativeHeight="251698176" behindDoc="0" locked="0" layoutInCell="1" allowOverlap="1">
              <wp:simplePos x="0" y="0"/>
              <wp:positionH relativeFrom="margin">
                <wp:posOffset>-67945</wp:posOffset>
              </wp:positionH>
              <wp:positionV relativeFrom="paragraph">
                <wp:posOffset>239395</wp:posOffset>
              </wp:positionV>
              <wp:extent cx="5935345" cy="10795"/>
              <wp:effectExtent l="19050" t="19050" r="27305" b="27305"/>
              <wp:wrapNone/>
              <wp:docPr id="39" name="直接连接符 39"/>
              <wp:cNvGraphicFramePr/>
              <a:graphic xmlns:a="http://schemas.openxmlformats.org/drawingml/2006/main">
                <a:graphicData uri="http://schemas.microsoft.com/office/word/2010/wordprocessingShape">
                  <wps:wsp>
                    <wps:cNvCnPr/>
                    <wps:spPr>
                      <a:xfrm flipV="1">
                        <a:off x="0" y="0"/>
                        <a:ext cx="5935465" cy="10812"/>
                      </a:xfrm>
                      <a:prstGeom prst="line">
                        <a:avLst/>
                      </a:prstGeom>
                      <a:ln w="3810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9" o:spid="_x0000_s1026" o:spt="20" style="position:absolute;left:0pt;flip:y;margin-left:-5.35pt;margin-top:18.85pt;height:0.85pt;width:467.35pt;mso-position-horizontal-relative:margin;z-index:251698176;mso-width-relative:page;mso-height-relative:page;" filled="f" stroked="t" coordsize="21600,21600" o:gfxdata="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VHXA63AAAAAkBAAAPAAAAAAAAAAEAIAAAACIAAABkcnMvZG93bnJldi54&#10;bWxQSwECFAAUAAAACACHTuJAQJSRk/YBAADCAwAADgAAAAAAAAABACAAAAArAQAAZHJzL2Uyb0Rv&#10;Yy54bWxQSwUGAAAAAAYABgBZAQAAkwUAAAAA&#10;">
              <v:fill on="f" focussize="0,0"/>
              <v:stroke weight="3pt" color="#00B0F0 [3204]" miterlimit="8" joinstyle="miter"/>
              <v:imagedata o:title=""/>
              <o:lock v:ext="edit" aspectratio="f"/>
            </v:line>
          </w:pict>
        </mc:Fallback>
      </mc:AlternateContent>
    </w:r>
    <w:r>
      <w:rPr>
        <w:b/>
        <w:sz w:val="21"/>
        <w:szCs w:val="21"/>
      </w:rPr>
      <mc:AlternateContent>
        <mc:Choice Requires="wps">
          <w:drawing>
            <wp:anchor distT="0" distB="0" distL="114300" distR="114300" simplePos="0" relativeHeight="251697152" behindDoc="0" locked="0" layoutInCell="1" allowOverlap="1">
              <wp:simplePos x="0" y="0"/>
              <wp:positionH relativeFrom="margin">
                <wp:align>left</wp:align>
              </wp:positionH>
              <wp:positionV relativeFrom="paragraph">
                <wp:posOffset>186055</wp:posOffset>
              </wp:positionV>
              <wp:extent cx="5785485" cy="0"/>
              <wp:effectExtent l="0" t="19050" r="25400" b="19050"/>
              <wp:wrapNone/>
              <wp:docPr id="33" name="直接连接符 33"/>
              <wp:cNvGraphicFramePr/>
              <a:graphic xmlns:a="http://schemas.openxmlformats.org/drawingml/2006/main">
                <a:graphicData uri="http://schemas.microsoft.com/office/word/2010/wordprocessingShape">
                  <wps:wsp>
                    <wps:cNvCnPr/>
                    <wps:spPr>
                      <a:xfrm flipV="1">
                        <a:off x="0" y="0"/>
                        <a:ext cx="578524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33" o:spid="_x0000_s1026" o:spt="20" style="position:absolute;left:0pt;flip:y;margin-top:14.65pt;height:0pt;width:455.55pt;mso-position-horizontal:left;mso-position-horizontal-relative:margin;z-index:251697152;mso-width-relative:page;mso-height-relative:page;" filled="f" stroked="t" coordsize="21600,21600" o:gfxdata="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8CSw71gAAAAYBAAAPAAAAAAAAAAEAIAAAACIAAABkcnMvZG93bnJldi54bWxQSwECFAAUAAAA&#10;CACHTuJAYKohCPABAAC+AwAADgAAAAAAAAABACAAAAAlAQAAZHJzL2Uyb0RvYy54bWxQSwUGAAAA&#10;AAYABgBZAQAAhwUAAAAA&#10;">
              <v:fill on="f" focussize="0,0"/>
              <v:stroke weight="2.25pt" color="#FF0000 [3204]" miterlimit="8" joinstyle="miter"/>
              <v:imagedata o:title=""/>
              <o:lock v:ext="edit" aspectratio="f"/>
            </v:line>
          </w:pict>
        </mc:Fallback>
      </mc:AlternateContent>
    </w:r>
    <w:r>
      <w:rPr>
        <w:kern w:val="0"/>
        <w:sz w:val="20"/>
        <w:szCs w:val="20"/>
      </w:rPr>
      <w:drawing>
        <wp:anchor distT="0" distB="0" distL="114300" distR="114300" simplePos="0" relativeHeight="251685888" behindDoc="1" locked="0" layoutInCell="1" allowOverlap="1">
          <wp:simplePos x="0" y="0"/>
          <wp:positionH relativeFrom="column">
            <wp:posOffset>90805</wp:posOffset>
          </wp:positionH>
          <wp:positionV relativeFrom="paragraph">
            <wp:posOffset>-158750</wp:posOffset>
          </wp:positionV>
          <wp:extent cx="606425" cy="258445"/>
          <wp:effectExtent l="0" t="0" r="3175" b="8255"/>
          <wp:wrapNone/>
          <wp:docPr id="301" name="图片 301" descr="ps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psb[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606425" cy="258445"/>
                  </a:xfrm>
                  <a:prstGeom prst="rect">
                    <a:avLst/>
                  </a:prstGeom>
                  <a:noFill/>
                  <a:ln>
                    <a:noFill/>
                  </a:ln>
                </pic:spPr>
              </pic:pic>
            </a:graphicData>
          </a:graphic>
        </wp:anchor>
      </w:drawing>
    </w:r>
    <w:r>
      <w:rPr>
        <w:rFonts w:hint="eastAsia" w:ascii="宋体" w:hAnsi="宋体" w:cs="宋体"/>
        <w:b/>
        <w:sz w:val="21"/>
        <w:szCs w:val="21"/>
      </w:rPr>
      <w:t>富士电梯制造（惠州）有限公司报价书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D"/>
    <w:multiLevelType w:val="singleLevel"/>
    <w:tmpl w:val="0000000D"/>
    <w:lvl w:ilvl="0" w:tentative="0">
      <w:start w:val="1"/>
      <w:numFmt w:val="bullet"/>
      <w:lvlText w:val=""/>
      <w:lvlJc w:val="left"/>
      <w:pPr>
        <w:tabs>
          <w:tab w:val="left" w:pos="425"/>
        </w:tabs>
        <w:ind w:left="425" w:hanging="425"/>
      </w:pPr>
      <w:rPr>
        <w:rFonts w:hint="default" w:ascii="Wingdings" w:hAnsi="Wingdings"/>
      </w:rPr>
    </w:lvl>
  </w:abstractNum>
  <w:abstractNum w:abstractNumId="1">
    <w:nsid w:val="0000001D"/>
    <w:multiLevelType w:val="multilevel"/>
    <w:tmpl w:val="0000001D"/>
    <w:lvl w:ilvl="0" w:tentative="0">
      <w:start w:val="1"/>
      <w:numFmt w:val="bullet"/>
      <w:lvlText w:val=""/>
      <w:lvlJc w:val="left"/>
      <w:pPr>
        <w:tabs>
          <w:tab w:val="left" w:pos="360"/>
        </w:tabs>
        <w:ind w:left="360" w:hanging="360"/>
      </w:pPr>
      <w:rPr>
        <w:rFonts w:hint="default" w:ascii="Wingdings" w:hAnsi="Wingdings"/>
      </w:rPr>
    </w:lvl>
    <w:lvl w:ilvl="1" w:tentative="0">
      <w:start w:val="1"/>
      <w:numFmt w:val="bullet"/>
      <w:lvlText w:val="o"/>
      <w:lvlJc w:val="left"/>
      <w:pPr>
        <w:tabs>
          <w:tab w:val="left" w:pos="1080"/>
        </w:tabs>
        <w:ind w:left="1080" w:hanging="360"/>
      </w:pPr>
      <w:rPr>
        <w:rFonts w:hint="default" w:ascii="Courier New" w:hAnsi="Courier New"/>
      </w:rPr>
    </w:lvl>
    <w:lvl w:ilvl="2" w:tentative="0">
      <w:start w:val="1"/>
      <w:numFmt w:val="bullet"/>
      <w:lvlText w:val=""/>
      <w:lvlJc w:val="left"/>
      <w:pPr>
        <w:tabs>
          <w:tab w:val="left" w:pos="1800"/>
        </w:tabs>
        <w:ind w:left="1800" w:hanging="360"/>
      </w:pPr>
      <w:rPr>
        <w:rFonts w:hint="default" w:ascii="Wingdings" w:hAnsi="Wingdings"/>
      </w:rPr>
    </w:lvl>
    <w:lvl w:ilvl="3" w:tentative="0">
      <w:start w:val="1"/>
      <w:numFmt w:val="bullet"/>
      <w:lvlText w:val=""/>
      <w:lvlJc w:val="left"/>
      <w:pPr>
        <w:tabs>
          <w:tab w:val="left" w:pos="2520"/>
        </w:tabs>
        <w:ind w:left="2520" w:hanging="360"/>
      </w:pPr>
      <w:rPr>
        <w:rFonts w:hint="default" w:ascii="Symbol" w:hAnsi="Symbol"/>
      </w:rPr>
    </w:lvl>
    <w:lvl w:ilvl="4" w:tentative="0">
      <w:start w:val="1"/>
      <w:numFmt w:val="bullet"/>
      <w:lvlText w:val="o"/>
      <w:lvlJc w:val="left"/>
      <w:pPr>
        <w:tabs>
          <w:tab w:val="left" w:pos="3240"/>
        </w:tabs>
        <w:ind w:left="3240" w:hanging="360"/>
      </w:pPr>
      <w:rPr>
        <w:rFonts w:hint="default" w:ascii="Courier New" w:hAnsi="Courier New"/>
      </w:rPr>
    </w:lvl>
    <w:lvl w:ilvl="5" w:tentative="0">
      <w:start w:val="1"/>
      <w:numFmt w:val="bullet"/>
      <w:lvlText w:val=""/>
      <w:lvlJc w:val="left"/>
      <w:pPr>
        <w:tabs>
          <w:tab w:val="left" w:pos="3960"/>
        </w:tabs>
        <w:ind w:left="3960" w:hanging="360"/>
      </w:pPr>
      <w:rPr>
        <w:rFonts w:hint="default" w:ascii="Wingdings" w:hAnsi="Wingdings"/>
      </w:rPr>
    </w:lvl>
    <w:lvl w:ilvl="6" w:tentative="0">
      <w:start w:val="1"/>
      <w:numFmt w:val="bullet"/>
      <w:lvlText w:val=""/>
      <w:lvlJc w:val="left"/>
      <w:pPr>
        <w:tabs>
          <w:tab w:val="left" w:pos="4680"/>
        </w:tabs>
        <w:ind w:left="4680" w:hanging="360"/>
      </w:pPr>
      <w:rPr>
        <w:rFonts w:hint="default" w:ascii="Symbol" w:hAnsi="Symbol"/>
      </w:rPr>
    </w:lvl>
    <w:lvl w:ilvl="7" w:tentative="0">
      <w:start w:val="1"/>
      <w:numFmt w:val="bullet"/>
      <w:lvlText w:val="o"/>
      <w:lvlJc w:val="left"/>
      <w:pPr>
        <w:tabs>
          <w:tab w:val="left" w:pos="5400"/>
        </w:tabs>
        <w:ind w:left="5400" w:hanging="360"/>
      </w:pPr>
      <w:rPr>
        <w:rFonts w:hint="default" w:ascii="Courier New" w:hAnsi="Courier New"/>
      </w:rPr>
    </w:lvl>
    <w:lvl w:ilvl="8" w:tentative="0">
      <w:start w:val="1"/>
      <w:numFmt w:val="bullet"/>
      <w:lvlText w:val=""/>
      <w:lvlJc w:val="left"/>
      <w:pPr>
        <w:tabs>
          <w:tab w:val="left" w:pos="6120"/>
        </w:tabs>
        <w:ind w:left="6120" w:hanging="360"/>
      </w:pPr>
      <w:rPr>
        <w:rFonts w:hint="default" w:ascii="Wingdings" w:hAnsi="Wingdings"/>
      </w:rPr>
    </w:lvl>
  </w:abstractNum>
  <w:abstractNum w:abstractNumId="2">
    <w:nsid w:val="00000022"/>
    <w:multiLevelType w:val="singleLevel"/>
    <w:tmpl w:val="00000022"/>
    <w:lvl w:ilvl="0" w:tentative="0">
      <w:start w:val="1"/>
      <w:numFmt w:val="bullet"/>
      <w:lvlText w:val=""/>
      <w:lvlJc w:val="left"/>
      <w:pPr>
        <w:tabs>
          <w:tab w:val="left" w:pos="757"/>
        </w:tabs>
        <w:ind w:left="360" w:firstLine="37"/>
      </w:pPr>
      <w:rPr>
        <w:rFonts w:hint="default" w:ascii="Wingdings" w:hAnsi="Wingdings"/>
      </w:rPr>
    </w:lvl>
  </w:abstractNum>
  <w:abstractNum w:abstractNumId="3">
    <w:nsid w:val="00000023"/>
    <w:multiLevelType w:val="multilevel"/>
    <w:tmpl w:val="00000023"/>
    <w:lvl w:ilvl="0" w:tentative="0">
      <w:start w:val="1"/>
      <w:numFmt w:val="bullet"/>
      <w:lvlText w:val=""/>
      <w:lvlJc w:val="left"/>
      <w:pPr>
        <w:tabs>
          <w:tab w:val="left" w:pos="360"/>
        </w:tabs>
        <w:ind w:left="360" w:hanging="360"/>
      </w:pPr>
      <w:rPr>
        <w:rFonts w:hint="default" w:ascii="Wingdings" w:hAnsi="Wingdings"/>
      </w:rPr>
    </w:lvl>
    <w:lvl w:ilvl="1" w:tentative="0">
      <w:start w:val="1"/>
      <w:numFmt w:val="bullet"/>
      <w:lvlText w:val="o"/>
      <w:lvlJc w:val="left"/>
      <w:pPr>
        <w:tabs>
          <w:tab w:val="left" w:pos="1080"/>
        </w:tabs>
        <w:ind w:left="1080" w:hanging="360"/>
      </w:pPr>
      <w:rPr>
        <w:rFonts w:hint="default" w:ascii="Courier New" w:hAnsi="Courier New"/>
      </w:rPr>
    </w:lvl>
    <w:lvl w:ilvl="2" w:tentative="0">
      <w:start w:val="1"/>
      <w:numFmt w:val="bullet"/>
      <w:lvlText w:val=""/>
      <w:lvlJc w:val="left"/>
      <w:pPr>
        <w:tabs>
          <w:tab w:val="left" w:pos="1800"/>
        </w:tabs>
        <w:ind w:left="1800" w:hanging="360"/>
      </w:pPr>
      <w:rPr>
        <w:rFonts w:hint="default" w:ascii="Wingdings" w:hAnsi="Wingdings"/>
      </w:rPr>
    </w:lvl>
    <w:lvl w:ilvl="3" w:tentative="0">
      <w:start w:val="1"/>
      <w:numFmt w:val="bullet"/>
      <w:lvlText w:val=""/>
      <w:lvlJc w:val="left"/>
      <w:pPr>
        <w:tabs>
          <w:tab w:val="left" w:pos="2520"/>
        </w:tabs>
        <w:ind w:left="2520" w:hanging="360"/>
      </w:pPr>
      <w:rPr>
        <w:rFonts w:hint="default" w:ascii="Symbol" w:hAnsi="Symbol"/>
      </w:rPr>
    </w:lvl>
    <w:lvl w:ilvl="4" w:tentative="0">
      <w:start w:val="1"/>
      <w:numFmt w:val="bullet"/>
      <w:lvlText w:val="o"/>
      <w:lvlJc w:val="left"/>
      <w:pPr>
        <w:tabs>
          <w:tab w:val="left" w:pos="3240"/>
        </w:tabs>
        <w:ind w:left="3240" w:hanging="360"/>
      </w:pPr>
      <w:rPr>
        <w:rFonts w:hint="default" w:ascii="Courier New" w:hAnsi="Courier New"/>
      </w:rPr>
    </w:lvl>
    <w:lvl w:ilvl="5" w:tentative="0">
      <w:start w:val="1"/>
      <w:numFmt w:val="bullet"/>
      <w:lvlText w:val=""/>
      <w:lvlJc w:val="left"/>
      <w:pPr>
        <w:tabs>
          <w:tab w:val="left" w:pos="3960"/>
        </w:tabs>
        <w:ind w:left="3960" w:hanging="360"/>
      </w:pPr>
      <w:rPr>
        <w:rFonts w:hint="default" w:ascii="Wingdings" w:hAnsi="Wingdings"/>
      </w:rPr>
    </w:lvl>
    <w:lvl w:ilvl="6" w:tentative="0">
      <w:start w:val="1"/>
      <w:numFmt w:val="bullet"/>
      <w:lvlText w:val=""/>
      <w:lvlJc w:val="left"/>
      <w:pPr>
        <w:tabs>
          <w:tab w:val="left" w:pos="4680"/>
        </w:tabs>
        <w:ind w:left="4680" w:hanging="360"/>
      </w:pPr>
      <w:rPr>
        <w:rFonts w:hint="default" w:ascii="Symbol" w:hAnsi="Symbol"/>
      </w:rPr>
    </w:lvl>
    <w:lvl w:ilvl="7" w:tentative="0">
      <w:start w:val="1"/>
      <w:numFmt w:val="bullet"/>
      <w:lvlText w:val="o"/>
      <w:lvlJc w:val="left"/>
      <w:pPr>
        <w:tabs>
          <w:tab w:val="left" w:pos="5400"/>
        </w:tabs>
        <w:ind w:left="5400" w:hanging="360"/>
      </w:pPr>
      <w:rPr>
        <w:rFonts w:hint="default" w:ascii="Courier New" w:hAnsi="Courier New"/>
      </w:rPr>
    </w:lvl>
    <w:lvl w:ilvl="8" w:tentative="0">
      <w:start w:val="1"/>
      <w:numFmt w:val="bullet"/>
      <w:lvlText w:val=""/>
      <w:lvlJc w:val="left"/>
      <w:pPr>
        <w:tabs>
          <w:tab w:val="left" w:pos="6120"/>
        </w:tabs>
        <w:ind w:left="6120" w:hanging="360"/>
      </w:pPr>
      <w:rPr>
        <w:rFonts w:hint="default" w:ascii="Wingdings" w:hAnsi="Wingdings"/>
      </w:rPr>
    </w:lvl>
  </w:abstractNum>
  <w:abstractNum w:abstractNumId="4">
    <w:nsid w:val="19A87AD7"/>
    <w:multiLevelType w:val="singleLevel"/>
    <w:tmpl w:val="19A87AD7"/>
    <w:lvl w:ilvl="0" w:tentative="0">
      <w:start w:val="1"/>
      <w:numFmt w:val="decimal"/>
      <w:suff w:val="nothing"/>
      <w:lvlText w:val="%1、"/>
      <w:lvlJc w:val="left"/>
    </w:lvl>
  </w:abstractNum>
  <w:abstractNum w:abstractNumId="5">
    <w:nsid w:val="20FE7720"/>
    <w:multiLevelType w:val="singleLevel"/>
    <w:tmpl w:val="20FE7720"/>
    <w:lvl w:ilvl="0" w:tentative="0">
      <w:start w:val="1"/>
      <w:numFmt w:val="none"/>
      <w:lvlText w:val="一、"/>
      <w:lvlJc w:val="left"/>
      <w:pPr>
        <w:tabs>
          <w:tab w:val="left" w:pos="480"/>
        </w:tabs>
        <w:ind w:left="480" w:hanging="480"/>
      </w:pPr>
      <w:rPr>
        <w:rFonts w:hint="eastAsia"/>
      </w:rPr>
    </w:lvl>
  </w:abstractNum>
  <w:abstractNum w:abstractNumId="6">
    <w:nsid w:val="2BA0029E"/>
    <w:multiLevelType w:val="singleLevel"/>
    <w:tmpl w:val="2BA0029E"/>
    <w:lvl w:ilvl="0" w:tentative="0">
      <w:start w:val="1"/>
      <w:numFmt w:val="decimal"/>
      <w:suff w:val="nothing"/>
      <w:lvlText w:val="%1、"/>
      <w:lvlJc w:val="left"/>
    </w:lvl>
  </w:abstractNum>
  <w:abstractNum w:abstractNumId="7">
    <w:nsid w:val="3DAE0E70"/>
    <w:multiLevelType w:val="multilevel"/>
    <w:tmpl w:val="3DAE0E70"/>
    <w:lvl w:ilvl="0" w:tentative="0">
      <w:start w:val="1"/>
      <w:numFmt w:val="decimal"/>
      <w:lvlText w:val="%1、"/>
      <w:lvlJc w:val="left"/>
      <w:pPr>
        <w:tabs>
          <w:tab w:val="left" w:pos="840"/>
        </w:tabs>
        <w:ind w:left="840" w:hanging="360"/>
      </w:pPr>
      <w:rPr>
        <w:rFonts w:hint="default"/>
      </w:rPr>
    </w:lvl>
    <w:lvl w:ilvl="1" w:tentative="0">
      <w:start w:val="1"/>
      <w:numFmt w:val="lowerLetter"/>
      <w:lvlText w:val="%2)"/>
      <w:lvlJc w:val="left"/>
      <w:pPr>
        <w:tabs>
          <w:tab w:val="left" w:pos="1320"/>
        </w:tabs>
        <w:ind w:left="1320" w:hanging="420"/>
      </w:pPr>
    </w:lvl>
    <w:lvl w:ilvl="2" w:tentative="0">
      <w:start w:val="1"/>
      <w:numFmt w:val="lowerRoman"/>
      <w:lvlText w:val="%3."/>
      <w:lvlJc w:val="right"/>
      <w:pPr>
        <w:tabs>
          <w:tab w:val="left" w:pos="1740"/>
        </w:tabs>
        <w:ind w:left="1740" w:hanging="420"/>
      </w:pPr>
    </w:lvl>
    <w:lvl w:ilvl="3" w:tentative="0">
      <w:start w:val="1"/>
      <w:numFmt w:val="decimal"/>
      <w:lvlText w:val="%4."/>
      <w:lvlJc w:val="left"/>
      <w:pPr>
        <w:tabs>
          <w:tab w:val="left" w:pos="2160"/>
        </w:tabs>
        <w:ind w:left="2160" w:hanging="420"/>
      </w:pPr>
    </w:lvl>
    <w:lvl w:ilvl="4" w:tentative="0">
      <w:start w:val="1"/>
      <w:numFmt w:val="lowerLetter"/>
      <w:lvlText w:val="%5)"/>
      <w:lvlJc w:val="left"/>
      <w:pPr>
        <w:tabs>
          <w:tab w:val="left" w:pos="2580"/>
        </w:tabs>
        <w:ind w:left="2580" w:hanging="420"/>
      </w:pPr>
    </w:lvl>
    <w:lvl w:ilvl="5" w:tentative="0">
      <w:start w:val="1"/>
      <w:numFmt w:val="lowerRoman"/>
      <w:lvlText w:val="%6."/>
      <w:lvlJc w:val="right"/>
      <w:pPr>
        <w:tabs>
          <w:tab w:val="left" w:pos="3000"/>
        </w:tabs>
        <w:ind w:left="3000" w:hanging="420"/>
      </w:pPr>
    </w:lvl>
    <w:lvl w:ilvl="6" w:tentative="0">
      <w:start w:val="1"/>
      <w:numFmt w:val="decimal"/>
      <w:lvlText w:val="%7."/>
      <w:lvlJc w:val="left"/>
      <w:pPr>
        <w:tabs>
          <w:tab w:val="left" w:pos="3420"/>
        </w:tabs>
        <w:ind w:left="3420" w:hanging="420"/>
      </w:pPr>
    </w:lvl>
    <w:lvl w:ilvl="7" w:tentative="0">
      <w:start w:val="1"/>
      <w:numFmt w:val="lowerLetter"/>
      <w:lvlText w:val="%8)"/>
      <w:lvlJc w:val="left"/>
      <w:pPr>
        <w:tabs>
          <w:tab w:val="left" w:pos="3840"/>
        </w:tabs>
        <w:ind w:left="3840" w:hanging="420"/>
      </w:pPr>
    </w:lvl>
    <w:lvl w:ilvl="8" w:tentative="0">
      <w:start w:val="1"/>
      <w:numFmt w:val="lowerRoman"/>
      <w:lvlText w:val="%9."/>
      <w:lvlJc w:val="right"/>
      <w:pPr>
        <w:tabs>
          <w:tab w:val="left" w:pos="4260"/>
        </w:tabs>
        <w:ind w:left="4260" w:hanging="420"/>
      </w:pPr>
    </w:lvl>
  </w:abstractNum>
  <w:abstractNum w:abstractNumId="8">
    <w:nsid w:val="409D16B6"/>
    <w:multiLevelType w:val="multilevel"/>
    <w:tmpl w:val="409D16B6"/>
    <w:lvl w:ilvl="0" w:tentative="0">
      <w:start w:val="1"/>
      <w:numFmt w:val="chineseCountingThousand"/>
      <w:pStyle w:val="2"/>
      <w:suff w:val="nothing"/>
      <w:lvlText w:val="%1、"/>
      <w:lvlJc w:val="left"/>
      <w:pPr>
        <w:ind w:left="0" w:firstLine="0"/>
      </w:pPr>
      <w:rPr>
        <w:rFonts w:hint="eastAsia"/>
        <w:sz w:val="44"/>
        <w:szCs w:val="44"/>
      </w:rPr>
    </w:lvl>
    <w:lvl w:ilvl="1" w:tentative="0">
      <w:start w:val="1"/>
      <w:numFmt w:val="chineseCountingThousand"/>
      <w:pStyle w:val="3"/>
      <w:suff w:val="nothing"/>
      <w:lvlText w:val="（%2）"/>
      <w:lvlJc w:val="left"/>
      <w:pPr>
        <w:ind w:left="0" w:firstLine="0"/>
      </w:pPr>
      <w:rPr>
        <w:rFonts w:hint="eastAsia"/>
        <w:color w:val="auto"/>
        <w:sz w:val="36"/>
        <w:szCs w:val="36"/>
      </w:rPr>
    </w:lvl>
    <w:lvl w:ilvl="2" w:tentative="0">
      <w:start w:val="1"/>
      <w:numFmt w:val="decimal"/>
      <w:pStyle w:val="4"/>
      <w:suff w:val="space"/>
      <w:lvlText w:val="%3."/>
      <w:lvlJc w:val="left"/>
      <w:pPr>
        <w:ind w:left="0" w:firstLine="0"/>
      </w:pPr>
      <w:rPr>
        <w:rFonts w:hint="eastAsia"/>
      </w:rPr>
    </w:lvl>
    <w:lvl w:ilvl="3" w:tentative="0">
      <w:start w:val="1"/>
      <w:numFmt w:val="decimal"/>
      <w:pStyle w:val="5"/>
      <w:suff w:val="space"/>
      <w:lvlText w:val="%3.%4"/>
      <w:lvlJc w:val="left"/>
      <w:pPr>
        <w:ind w:left="0" w:firstLine="0"/>
      </w:pPr>
      <w:rPr>
        <w:rFonts w:hint="eastAsia"/>
      </w:rPr>
    </w:lvl>
    <w:lvl w:ilvl="4" w:tentative="0">
      <w:start w:val="1"/>
      <w:numFmt w:val="decimal"/>
      <w:pStyle w:val="6"/>
      <w:suff w:val="space"/>
      <w:lvlText w:val="%3.%4.%5"/>
      <w:lvlJc w:val="left"/>
      <w:pPr>
        <w:ind w:left="0" w:firstLine="0"/>
      </w:pPr>
      <w:rPr>
        <w:rFonts w:hint="eastAsia"/>
      </w:rPr>
    </w:lvl>
    <w:lvl w:ilvl="5" w:tentative="0">
      <w:start w:val="1"/>
      <w:numFmt w:val="decimal"/>
      <w:pStyle w:val="7"/>
      <w:suff w:val="nothing"/>
      <w:lvlText w:val="（%6）"/>
      <w:lvlJc w:val="left"/>
      <w:pPr>
        <w:ind w:left="0" w:firstLine="0"/>
      </w:pPr>
      <w:rPr>
        <w:rFonts w:hint="eastAsia"/>
        <w:color w:val="000000" w:themeColor="text1"/>
        <w:sz w:val="24"/>
        <w:szCs w:val="24"/>
        <w14:textFill>
          <w14:solidFill>
            <w14:schemeClr w14:val="tx1"/>
          </w14:solidFill>
        </w14:textFill>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9">
    <w:nsid w:val="5534713D"/>
    <w:multiLevelType w:val="singleLevel"/>
    <w:tmpl w:val="5534713D"/>
    <w:lvl w:ilvl="0" w:tentative="0">
      <w:start w:val="1"/>
      <w:numFmt w:val="decimal"/>
      <w:suff w:val="nothing"/>
      <w:lvlText w:val="%1、"/>
      <w:lvlJc w:val="left"/>
    </w:lvl>
  </w:abstractNum>
  <w:abstractNum w:abstractNumId="10">
    <w:nsid w:val="5A7055FB"/>
    <w:multiLevelType w:val="singleLevel"/>
    <w:tmpl w:val="5A7055FB"/>
    <w:lvl w:ilvl="0" w:tentative="0">
      <w:start w:val="1"/>
      <w:numFmt w:val="decimal"/>
      <w:suff w:val="nothing"/>
      <w:lvlText w:val="%1、"/>
      <w:lvlJc w:val="left"/>
    </w:lvl>
  </w:abstractNum>
  <w:abstractNum w:abstractNumId="11">
    <w:nsid w:val="694D0AB5"/>
    <w:multiLevelType w:val="multilevel"/>
    <w:tmpl w:val="694D0AB5"/>
    <w:lvl w:ilvl="0" w:tentative="0">
      <w:start w:val="4"/>
      <w:numFmt w:val="japaneseCounting"/>
      <w:lvlText w:val="%1、"/>
      <w:lvlJc w:val="left"/>
      <w:pPr>
        <w:tabs>
          <w:tab w:val="left" w:pos="480"/>
        </w:tabs>
        <w:ind w:left="480" w:hanging="48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8"/>
  </w:num>
  <w:num w:numId="2">
    <w:abstractNumId w:val="7"/>
  </w:num>
  <w:num w:numId="3">
    <w:abstractNumId w:val="11"/>
  </w:num>
  <w:num w:numId="4">
    <w:abstractNumId w:val="0"/>
  </w:num>
  <w:num w:numId="5">
    <w:abstractNumId w:val="5"/>
  </w:num>
  <w:num w:numId="6">
    <w:abstractNumId w:val="6"/>
  </w:num>
  <w:num w:numId="7">
    <w:abstractNumId w:val="10"/>
  </w:num>
  <w:num w:numId="8">
    <w:abstractNumId w:val="9"/>
  </w:num>
  <w:num w:numId="9">
    <w:abstractNumId w:val="4"/>
  </w:num>
  <w:num w:numId="10">
    <w:abstractNumId w:val="2"/>
  </w:num>
  <w:num w:numId="11">
    <w:abstractNumId w:val="1"/>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70D"/>
    <w:rsid w:val="00056D97"/>
    <w:rsid w:val="00073BB4"/>
    <w:rsid w:val="000D52A2"/>
    <w:rsid w:val="00153131"/>
    <w:rsid w:val="00180878"/>
    <w:rsid w:val="00180974"/>
    <w:rsid w:val="0020571E"/>
    <w:rsid w:val="00220765"/>
    <w:rsid w:val="00221C27"/>
    <w:rsid w:val="002351AD"/>
    <w:rsid w:val="00235311"/>
    <w:rsid w:val="002A58A8"/>
    <w:rsid w:val="002A6041"/>
    <w:rsid w:val="0032070D"/>
    <w:rsid w:val="003314A8"/>
    <w:rsid w:val="00335D51"/>
    <w:rsid w:val="00350FEA"/>
    <w:rsid w:val="00356AF2"/>
    <w:rsid w:val="003E3E2B"/>
    <w:rsid w:val="003E71F2"/>
    <w:rsid w:val="00414620"/>
    <w:rsid w:val="00424772"/>
    <w:rsid w:val="004D6C2F"/>
    <w:rsid w:val="004E07AD"/>
    <w:rsid w:val="004F4D55"/>
    <w:rsid w:val="00526F11"/>
    <w:rsid w:val="005B4054"/>
    <w:rsid w:val="005C3109"/>
    <w:rsid w:val="005E5CBB"/>
    <w:rsid w:val="00616A21"/>
    <w:rsid w:val="00633AC2"/>
    <w:rsid w:val="00655E0E"/>
    <w:rsid w:val="006674E9"/>
    <w:rsid w:val="006F7955"/>
    <w:rsid w:val="00750D1D"/>
    <w:rsid w:val="0075390A"/>
    <w:rsid w:val="007A1E64"/>
    <w:rsid w:val="007F796E"/>
    <w:rsid w:val="00844083"/>
    <w:rsid w:val="00855D96"/>
    <w:rsid w:val="0088443E"/>
    <w:rsid w:val="008B2011"/>
    <w:rsid w:val="00AD3456"/>
    <w:rsid w:val="00AE29BF"/>
    <w:rsid w:val="00BB3A36"/>
    <w:rsid w:val="00BE0F71"/>
    <w:rsid w:val="00C338F8"/>
    <w:rsid w:val="00C67861"/>
    <w:rsid w:val="00CB24FB"/>
    <w:rsid w:val="00D369A6"/>
    <w:rsid w:val="00D469FE"/>
    <w:rsid w:val="00D5116C"/>
    <w:rsid w:val="00D809AA"/>
    <w:rsid w:val="00D94083"/>
    <w:rsid w:val="00DB461C"/>
    <w:rsid w:val="00F04AE4"/>
    <w:rsid w:val="00F06BF4"/>
    <w:rsid w:val="00F35317"/>
    <w:rsid w:val="00F74104"/>
    <w:rsid w:val="00F753E1"/>
    <w:rsid w:val="00F929F4"/>
    <w:rsid w:val="25E55C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uiPriority="39" w:semiHidden="0" w:name="toc 3"/>
    <w:lsdException w:qFormat="1" w:uiPriority="39" w:semiHidden="0" w:name="toc 4"/>
    <w:lsdException w:uiPriority="39" w:semiHidden="0" w:name="toc 5"/>
    <w:lsdException w:uiPriority="39" w:semiHidden="0" w:name="toc 6"/>
    <w:lsdException w:uiPriority="39" w:name="toc 7"/>
    <w:lsdException w:uiPriority="39" w:name="toc 8"/>
    <w:lsdException w:uiPriority="39" w:name="toc 9"/>
    <w:lsdException w:qFormat="1" w:unhideWhenUsed="0" w:uiPriority="99" w:semiHidden="0"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semiHidden="0"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iPriority="9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jc w:val="both"/>
    </w:pPr>
    <w:rPr>
      <w:rFonts w:ascii="Times New Roman" w:hAnsi="Times New Roman" w:eastAsia="宋体" w:cstheme="minorBidi"/>
      <w:kern w:val="2"/>
      <w:sz w:val="24"/>
      <w:szCs w:val="22"/>
      <w:lang w:val="en-US" w:eastAsia="zh-CN" w:bidi="ar-SA"/>
    </w:rPr>
  </w:style>
  <w:style w:type="paragraph" w:styleId="2">
    <w:name w:val="heading 1"/>
    <w:basedOn w:val="1"/>
    <w:next w:val="1"/>
    <w:link w:val="26"/>
    <w:qFormat/>
    <w:uiPriority w:val="9"/>
    <w:pPr>
      <w:keepNext/>
      <w:keepLines/>
      <w:numPr>
        <w:ilvl w:val="0"/>
        <w:numId w:val="1"/>
      </w:numPr>
      <w:jc w:val="center"/>
      <w:outlineLvl w:val="0"/>
    </w:pPr>
    <w:rPr>
      <w:b/>
      <w:bCs/>
      <w:kern w:val="44"/>
      <w:sz w:val="44"/>
      <w:szCs w:val="44"/>
    </w:rPr>
  </w:style>
  <w:style w:type="paragraph" w:styleId="3">
    <w:name w:val="heading 2"/>
    <w:basedOn w:val="1"/>
    <w:next w:val="1"/>
    <w:link w:val="27"/>
    <w:unhideWhenUsed/>
    <w:qFormat/>
    <w:uiPriority w:val="9"/>
    <w:pPr>
      <w:keepNext/>
      <w:keepLines/>
      <w:numPr>
        <w:ilvl w:val="1"/>
        <w:numId w:val="1"/>
      </w:numPr>
      <w:jc w:val="center"/>
      <w:outlineLvl w:val="1"/>
    </w:pPr>
    <w:rPr>
      <w:rFonts w:cstheme="majorBidi"/>
      <w:b/>
      <w:bCs/>
      <w:sz w:val="36"/>
      <w:szCs w:val="32"/>
    </w:rPr>
  </w:style>
  <w:style w:type="paragraph" w:styleId="4">
    <w:name w:val="heading 3"/>
    <w:basedOn w:val="1"/>
    <w:next w:val="1"/>
    <w:link w:val="28"/>
    <w:unhideWhenUsed/>
    <w:qFormat/>
    <w:uiPriority w:val="9"/>
    <w:pPr>
      <w:keepNext/>
      <w:keepLines/>
      <w:numPr>
        <w:ilvl w:val="2"/>
        <w:numId w:val="1"/>
      </w:numPr>
      <w:jc w:val="center"/>
      <w:outlineLvl w:val="2"/>
    </w:pPr>
    <w:rPr>
      <w:b/>
      <w:bCs/>
      <w:sz w:val="32"/>
      <w:szCs w:val="32"/>
    </w:rPr>
  </w:style>
  <w:style w:type="paragraph" w:styleId="5">
    <w:name w:val="heading 4"/>
    <w:basedOn w:val="1"/>
    <w:next w:val="1"/>
    <w:link w:val="29"/>
    <w:unhideWhenUsed/>
    <w:qFormat/>
    <w:uiPriority w:val="9"/>
    <w:pPr>
      <w:keepNext/>
      <w:keepLines/>
      <w:numPr>
        <w:ilvl w:val="3"/>
        <w:numId w:val="1"/>
      </w:numPr>
      <w:jc w:val="center"/>
      <w:outlineLvl w:val="3"/>
    </w:pPr>
    <w:rPr>
      <w:rFonts w:cstheme="majorBidi"/>
      <w:b/>
      <w:bCs/>
      <w:sz w:val="30"/>
      <w:szCs w:val="28"/>
    </w:rPr>
  </w:style>
  <w:style w:type="paragraph" w:styleId="6">
    <w:name w:val="heading 5"/>
    <w:basedOn w:val="1"/>
    <w:next w:val="1"/>
    <w:link w:val="30"/>
    <w:unhideWhenUsed/>
    <w:qFormat/>
    <w:uiPriority w:val="9"/>
    <w:pPr>
      <w:keepNext/>
      <w:keepLines/>
      <w:numPr>
        <w:ilvl w:val="4"/>
        <w:numId w:val="1"/>
      </w:numPr>
      <w:jc w:val="center"/>
      <w:outlineLvl w:val="4"/>
    </w:pPr>
    <w:rPr>
      <w:b/>
      <w:bCs/>
      <w:sz w:val="28"/>
      <w:szCs w:val="28"/>
    </w:rPr>
  </w:style>
  <w:style w:type="paragraph" w:styleId="7">
    <w:name w:val="heading 6"/>
    <w:basedOn w:val="1"/>
    <w:next w:val="1"/>
    <w:link w:val="25"/>
    <w:unhideWhenUsed/>
    <w:qFormat/>
    <w:uiPriority w:val="9"/>
    <w:pPr>
      <w:keepNext/>
      <w:keepLines/>
      <w:numPr>
        <w:ilvl w:val="5"/>
        <w:numId w:val="1"/>
      </w:numPr>
      <w:jc w:val="center"/>
      <w:outlineLvl w:val="5"/>
    </w:pPr>
    <w:rPr>
      <w:rFonts w:cstheme="majorBidi"/>
      <w:b/>
      <w:bCs/>
      <w:szCs w:val="24"/>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Body Text 2"/>
    <w:basedOn w:val="1"/>
    <w:link w:val="35"/>
    <w:unhideWhenUsed/>
    <w:uiPriority w:val="99"/>
    <w:pPr>
      <w:widowControl/>
      <w:autoSpaceDE w:val="0"/>
      <w:autoSpaceDN w:val="0"/>
      <w:snapToGrid/>
      <w:spacing w:line="240" w:lineRule="auto"/>
      <w:jc w:val="left"/>
    </w:pPr>
    <w:rPr>
      <w:rFonts w:ascii="宋体" w:cs="Times New Roman"/>
      <w:color w:val="000000"/>
      <w:kern w:val="0"/>
      <w:sz w:val="16"/>
      <w:szCs w:val="24"/>
      <w:lang w:eastAsia="en-US"/>
    </w:rPr>
  </w:style>
  <w:style w:type="paragraph" w:styleId="11">
    <w:name w:val="footer"/>
    <w:basedOn w:val="1"/>
    <w:link w:val="32"/>
    <w:unhideWhenUsed/>
    <w:uiPriority w:val="99"/>
    <w:pPr>
      <w:tabs>
        <w:tab w:val="center" w:pos="4153"/>
        <w:tab w:val="right" w:pos="8306"/>
      </w:tabs>
      <w:spacing w:line="240" w:lineRule="auto"/>
      <w:jc w:val="left"/>
    </w:pPr>
    <w:rPr>
      <w:sz w:val="18"/>
      <w:szCs w:val="18"/>
    </w:rPr>
  </w:style>
  <w:style w:type="paragraph" w:styleId="12">
    <w:name w:val="header"/>
    <w:basedOn w:val="1"/>
    <w:link w:val="31"/>
    <w:unhideWhenUsed/>
    <w:uiPriority w:val="99"/>
    <w:pPr>
      <w:pBdr>
        <w:bottom w:val="single" w:color="auto" w:sz="6" w:space="1"/>
      </w:pBdr>
      <w:tabs>
        <w:tab w:val="center" w:pos="4153"/>
        <w:tab w:val="right" w:pos="8306"/>
      </w:tabs>
      <w:spacing w:line="240" w:lineRule="auto"/>
      <w:jc w:val="center"/>
    </w:pPr>
    <w:rPr>
      <w:sz w:val="18"/>
      <w:szCs w:val="18"/>
    </w:rPr>
  </w:style>
  <w:style w:type="character" w:styleId="13">
    <w:name w:val="Hyperlink"/>
    <w:basedOn w:val="8"/>
    <w:unhideWhenUsed/>
    <w:uiPriority w:val="99"/>
    <w:rPr>
      <w:color w:val="0563C1" w:themeColor="hyperlink"/>
      <w:u w:val="single"/>
      <w14:textFill>
        <w14:solidFill>
          <w14:schemeClr w14:val="hlink"/>
        </w14:solidFill>
      </w14:textFill>
    </w:rPr>
  </w:style>
  <w:style w:type="paragraph" w:styleId="14">
    <w:name w:val="Normal (Web)"/>
    <w:basedOn w:val="1"/>
    <w:qFormat/>
    <w:uiPriority w:val="0"/>
    <w:pPr>
      <w:adjustRightInd/>
      <w:snapToGrid/>
      <w:spacing w:beforeAutospacing="1" w:afterAutospacing="1" w:line="240" w:lineRule="auto"/>
      <w:jc w:val="left"/>
    </w:pPr>
    <w:rPr>
      <w:rFonts w:cs="Times New Roman"/>
      <w:kern w:val="0"/>
      <w:szCs w:val="24"/>
    </w:rPr>
  </w:style>
  <w:style w:type="paragraph" w:styleId="15">
    <w:name w:val="Normal Indent"/>
    <w:basedOn w:val="1"/>
    <w:qFormat/>
    <w:uiPriority w:val="99"/>
    <w:pPr>
      <w:widowControl/>
      <w:adjustRightInd/>
      <w:snapToGrid/>
      <w:spacing w:before="100" w:beforeAutospacing="1" w:after="100" w:afterAutospacing="1" w:line="240" w:lineRule="auto"/>
      <w:jc w:val="left"/>
    </w:pPr>
    <w:rPr>
      <w:rFonts w:ascii="宋体" w:hAnsi="宋体" w:cs="宋体"/>
      <w:color w:val="000000"/>
      <w:kern w:val="0"/>
      <w:szCs w:val="24"/>
    </w:rPr>
  </w:style>
  <w:style w:type="paragraph" w:styleId="16">
    <w:name w:val="Plain Text"/>
    <w:basedOn w:val="1"/>
    <w:next w:val="1"/>
    <w:link w:val="34"/>
    <w:unhideWhenUsed/>
    <w:uiPriority w:val="99"/>
    <w:pPr>
      <w:widowControl/>
      <w:adjustRightInd/>
      <w:snapToGrid/>
      <w:spacing w:line="240" w:lineRule="auto"/>
      <w:jc w:val="left"/>
    </w:pPr>
    <w:rPr>
      <w:rFonts w:ascii="Arial" w:hAnsi="Arial" w:cs="Times New Roman"/>
      <w:szCs w:val="24"/>
      <w:lang w:eastAsia="en-US"/>
    </w:rPr>
  </w:style>
  <w:style w:type="paragraph" w:styleId="17">
    <w:name w:val="Subtitle"/>
    <w:basedOn w:val="1"/>
    <w:next w:val="1"/>
    <w:link w:val="38"/>
    <w:qFormat/>
    <w:uiPriority w:val="11"/>
    <w:pPr>
      <w:spacing w:before="240" w:after="60" w:line="312" w:lineRule="auto"/>
      <w:jc w:val="center"/>
      <w:outlineLvl w:val="1"/>
    </w:pPr>
    <w:rPr>
      <w:rFonts w:asciiTheme="minorHAnsi" w:hAnsiTheme="minorHAnsi" w:eastAsiaTheme="minorEastAsia"/>
      <w:b/>
      <w:bCs/>
      <w:kern w:val="28"/>
      <w:sz w:val="32"/>
      <w:szCs w:val="32"/>
    </w:rPr>
  </w:style>
  <w:style w:type="table" w:styleId="18">
    <w:name w:val="Table Grid"/>
    <w:basedOn w:val="9"/>
    <w:unhideWhenUsed/>
    <w:qFormat/>
    <w:uiPriority w:val="99"/>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9">
    <w:name w:val="toc 1"/>
    <w:basedOn w:val="1"/>
    <w:next w:val="1"/>
    <w:unhideWhenUsed/>
    <w:uiPriority w:val="39"/>
  </w:style>
  <w:style w:type="paragraph" w:styleId="20">
    <w:name w:val="toc 2"/>
    <w:basedOn w:val="1"/>
    <w:next w:val="1"/>
    <w:unhideWhenUsed/>
    <w:uiPriority w:val="39"/>
    <w:pPr>
      <w:ind w:left="420" w:leftChars="200"/>
    </w:pPr>
  </w:style>
  <w:style w:type="paragraph" w:styleId="21">
    <w:name w:val="toc 3"/>
    <w:basedOn w:val="1"/>
    <w:next w:val="1"/>
    <w:unhideWhenUsed/>
    <w:uiPriority w:val="39"/>
    <w:pPr>
      <w:ind w:left="840" w:leftChars="400"/>
    </w:pPr>
  </w:style>
  <w:style w:type="paragraph" w:styleId="22">
    <w:name w:val="toc 4"/>
    <w:basedOn w:val="1"/>
    <w:next w:val="1"/>
    <w:unhideWhenUsed/>
    <w:qFormat/>
    <w:uiPriority w:val="39"/>
    <w:pPr>
      <w:ind w:left="1260" w:leftChars="600"/>
    </w:pPr>
  </w:style>
  <w:style w:type="paragraph" w:styleId="23">
    <w:name w:val="toc 5"/>
    <w:basedOn w:val="1"/>
    <w:next w:val="1"/>
    <w:unhideWhenUsed/>
    <w:uiPriority w:val="39"/>
    <w:pPr>
      <w:ind w:left="1680" w:leftChars="800"/>
    </w:pPr>
  </w:style>
  <w:style w:type="paragraph" w:styleId="24">
    <w:name w:val="toc 6"/>
    <w:basedOn w:val="1"/>
    <w:next w:val="1"/>
    <w:unhideWhenUsed/>
    <w:uiPriority w:val="39"/>
    <w:pPr>
      <w:ind w:left="2100" w:leftChars="1000"/>
    </w:pPr>
  </w:style>
  <w:style w:type="character" w:customStyle="1" w:styleId="25">
    <w:name w:val="标题 6 字符"/>
    <w:basedOn w:val="8"/>
    <w:link w:val="7"/>
    <w:uiPriority w:val="9"/>
    <w:rPr>
      <w:rFonts w:ascii="Times New Roman" w:hAnsi="Times New Roman" w:eastAsia="宋体" w:cstheme="majorBidi"/>
      <w:b/>
      <w:bCs/>
      <w:sz w:val="24"/>
      <w:szCs w:val="24"/>
    </w:rPr>
  </w:style>
  <w:style w:type="character" w:customStyle="1" w:styleId="26">
    <w:name w:val="标题 1 字符"/>
    <w:basedOn w:val="8"/>
    <w:link w:val="2"/>
    <w:uiPriority w:val="9"/>
    <w:rPr>
      <w:rFonts w:ascii="Times New Roman" w:hAnsi="Times New Roman" w:eastAsia="宋体"/>
      <w:b/>
      <w:bCs/>
      <w:kern w:val="44"/>
      <w:sz w:val="44"/>
      <w:szCs w:val="44"/>
    </w:rPr>
  </w:style>
  <w:style w:type="character" w:customStyle="1" w:styleId="27">
    <w:name w:val="标题 2 字符"/>
    <w:basedOn w:val="8"/>
    <w:link w:val="3"/>
    <w:uiPriority w:val="9"/>
    <w:rPr>
      <w:rFonts w:ascii="Times New Roman" w:hAnsi="Times New Roman" w:eastAsia="宋体" w:cstheme="majorBidi"/>
      <w:b/>
      <w:bCs/>
      <w:sz w:val="36"/>
      <w:szCs w:val="32"/>
    </w:rPr>
  </w:style>
  <w:style w:type="character" w:customStyle="1" w:styleId="28">
    <w:name w:val="标题 3 字符"/>
    <w:basedOn w:val="8"/>
    <w:link w:val="4"/>
    <w:uiPriority w:val="9"/>
    <w:rPr>
      <w:rFonts w:ascii="Times New Roman" w:hAnsi="Times New Roman" w:eastAsia="宋体"/>
      <w:b/>
      <w:bCs/>
      <w:sz w:val="32"/>
      <w:szCs w:val="32"/>
    </w:rPr>
  </w:style>
  <w:style w:type="character" w:customStyle="1" w:styleId="29">
    <w:name w:val="标题 4 字符"/>
    <w:basedOn w:val="8"/>
    <w:link w:val="5"/>
    <w:qFormat/>
    <w:uiPriority w:val="9"/>
    <w:rPr>
      <w:rFonts w:ascii="Times New Roman" w:hAnsi="Times New Roman" w:eastAsia="宋体" w:cstheme="majorBidi"/>
      <w:b/>
      <w:bCs/>
      <w:sz w:val="30"/>
      <w:szCs w:val="28"/>
    </w:rPr>
  </w:style>
  <w:style w:type="character" w:customStyle="1" w:styleId="30">
    <w:name w:val="标题 5 字符"/>
    <w:basedOn w:val="8"/>
    <w:link w:val="6"/>
    <w:uiPriority w:val="9"/>
    <w:rPr>
      <w:rFonts w:ascii="Times New Roman" w:hAnsi="Times New Roman" w:eastAsia="宋体"/>
      <w:b/>
      <w:bCs/>
      <w:sz w:val="28"/>
      <w:szCs w:val="28"/>
    </w:rPr>
  </w:style>
  <w:style w:type="character" w:customStyle="1" w:styleId="31">
    <w:name w:val="页眉 字符"/>
    <w:basedOn w:val="8"/>
    <w:link w:val="12"/>
    <w:uiPriority w:val="99"/>
    <w:rPr>
      <w:rFonts w:ascii="Times New Roman" w:hAnsi="Times New Roman" w:eastAsia="宋体"/>
      <w:sz w:val="18"/>
      <w:szCs w:val="18"/>
    </w:rPr>
  </w:style>
  <w:style w:type="character" w:customStyle="1" w:styleId="32">
    <w:name w:val="页脚 字符"/>
    <w:basedOn w:val="8"/>
    <w:link w:val="11"/>
    <w:uiPriority w:val="99"/>
    <w:rPr>
      <w:rFonts w:ascii="Times New Roman" w:hAnsi="Times New Roman" w:eastAsia="宋体"/>
      <w:sz w:val="18"/>
      <w:szCs w:val="18"/>
    </w:rPr>
  </w:style>
  <w:style w:type="paragraph" w:customStyle="1" w:styleId="33">
    <w:name w:val="样式2"/>
    <w:basedOn w:val="1"/>
    <w:uiPriority w:val="0"/>
    <w:pPr>
      <w:wordWrap w:val="0"/>
      <w:topLinePunct/>
      <w:spacing w:before="156" w:beforeLines="50" w:line="240" w:lineRule="atLeast"/>
      <w:jc w:val="left"/>
      <w:textAlignment w:val="center"/>
      <w:outlineLvl w:val="1"/>
    </w:pPr>
    <w:rPr>
      <w:rFonts w:ascii="宋体" w:hAnsi="宋体" w:cs="Times New Roman"/>
      <w:b/>
      <w:sz w:val="30"/>
      <w:szCs w:val="30"/>
    </w:rPr>
  </w:style>
  <w:style w:type="character" w:customStyle="1" w:styleId="34">
    <w:name w:val="纯文本 字符"/>
    <w:basedOn w:val="8"/>
    <w:link w:val="16"/>
    <w:uiPriority w:val="99"/>
    <w:rPr>
      <w:rFonts w:ascii="Arial" w:hAnsi="Arial" w:eastAsia="宋体" w:cs="Times New Roman"/>
      <w:sz w:val="24"/>
      <w:szCs w:val="24"/>
      <w:lang w:eastAsia="en-US"/>
    </w:rPr>
  </w:style>
  <w:style w:type="character" w:customStyle="1" w:styleId="35">
    <w:name w:val="正文文本 2 字符"/>
    <w:basedOn w:val="8"/>
    <w:link w:val="10"/>
    <w:uiPriority w:val="99"/>
    <w:rPr>
      <w:rFonts w:ascii="宋体" w:hAnsi="Times New Roman" w:eastAsia="宋体" w:cs="Times New Roman"/>
      <w:color w:val="000000"/>
      <w:kern w:val="0"/>
      <w:sz w:val="16"/>
      <w:szCs w:val="24"/>
      <w:lang w:eastAsia="en-US"/>
    </w:rPr>
  </w:style>
  <w:style w:type="paragraph" w:customStyle="1" w:styleId="36">
    <w:name w:val="TOC Heading"/>
    <w:basedOn w:val="2"/>
    <w:next w:val="1"/>
    <w:unhideWhenUsed/>
    <w:qFormat/>
    <w:uiPriority w:val="39"/>
    <w:pPr>
      <w:widowControl/>
      <w:numPr>
        <w:numId w:val="0"/>
      </w:numPr>
      <w:adjustRightInd/>
      <w:snapToGrid/>
      <w:spacing w:before="24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paragraph" w:styleId="37">
    <w:name w:val="No Spacing"/>
    <w:qFormat/>
    <w:uiPriority w:val="1"/>
    <w:pPr>
      <w:widowControl w:val="0"/>
      <w:adjustRightInd w:val="0"/>
      <w:snapToGrid w:val="0"/>
      <w:jc w:val="both"/>
    </w:pPr>
    <w:rPr>
      <w:rFonts w:ascii="Times New Roman" w:hAnsi="Times New Roman" w:eastAsia="宋体" w:cstheme="minorBidi"/>
      <w:kern w:val="2"/>
      <w:sz w:val="24"/>
      <w:szCs w:val="22"/>
      <w:lang w:val="en-US" w:eastAsia="zh-CN" w:bidi="ar-SA"/>
    </w:rPr>
  </w:style>
  <w:style w:type="character" w:customStyle="1" w:styleId="38">
    <w:name w:val="副标题 字符"/>
    <w:basedOn w:val="8"/>
    <w:link w:val="17"/>
    <w:uiPriority w:val="11"/>
    <w:rPr>
      <w:b/>
      <w:bCs/>
      <w:kern w:val="28"/>
      <w:sz w:val="32"/>
      <w:szCs w:val="32"/>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2.xml"/><Relationship Id="rId7" Type="http://schemas.openxmlformats.org/officeDocument/2006/relationships/footer" Target="footer2.xml"/><Relationship Id="rId6" Type="http://schemas.openxmlformats.org/officeDocument/2006/relationships/footer" Target="footer1.xml"/><Relationship Id="rId55" Type="http://schemas.openxmlformats.org/officeDocument/2006/relationships/fontTable" Target="fontTable.xml"/><Relationship Id="rId54" Type="http://schemas.openxmlformats.org/officeDocument/2006/relationships/customXml" Target="../customXml/item2.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emf"/><Relationship Id="rId23" Type="http://schemas.openxmlformats.org/officeDocument/2006/relationships/image" Target="media/image12.emf"/><Relationship Id="rId22" Type="http://schemas.openxmlformats.org/officeDocument/2006/relationships/image" Target="media/image11.emf"/><Relationship Id="rId21" Type="http://schemas.openxmlformats.org/officeDocument/2006/relationships/image" Target="media/image10.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jpeg"/><Relationship Id="rId16" Type="http://schemas.openxmlformats.org/officeDocument/2006/relationships/image" Target="media/image6.pn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header" Target="head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Info spid="_x0000_s2050"/>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A3BB50-C277-4063-A1F9-1386EFF7C5E2}">
  <ds:schemaRefs/>
</ds:datastoreItem>
</file>

<file path=docProps/app.xml><?xml version="1.0" encoding="utf-8"?>
<Properties xmlns="http://schemas.openxmlformats.org/officeDocument/2006/extended-properties" xmlns:vt="http://schemas.openxmlformats.org/officeDocument/2006/docPropsVTypes">
  <Template>Normal</Template>
  <Pages>58</Pages>
  <Words>2785</Words>
  <Characters>15878</Characters>
  <Lines>132</Lines>
  <Paragraphs>37</Paragraphs>
  <TotalTime>238</TotalTime>
  <ScaleCrop>false</ScaleCrop>
  <LinksUpToDate>false</LinksUpToDate>
  <CharactersWithSpaces>18626</CharactersWithSpaces>
  <Application>WPS Office_11.2.0.11417_F1E327BC-269C-435d-A152-05C5408002CA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2019-04-02T02:07:00Z</dcterms:created>
  <dc:creator>Admin</dc:creator>
  <cp:lastModifiedBy>Administrator</cp:lastModifiedBy>
  <cp:lastPrinted>2022-12-02T12:27:00Z</cp:lastPrinted>
  <dcterms:modified xsi:type="dcterms:W3CDTF">2022-12-02T12:54:38Z</dcterms:modified>
  <cp:revision>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F68053B644C8448289A7D81AE580B43C</vt:lpwstr>
  </property>
</Properties>
</file>