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center"/>
        <w:textAlignment w:val="baseline"/>
        <w:rPr>
          <w:rFonts w:hint="eastAsia" w:ascii="宋体" w:hAnsi="宋体" w:eastAsia="宋体" w:cs="宋体"/>
          <w:b/>
          <w:bCs/>
          <w:i w:val="0"/>
          <w:iCs w:val="0"/>
          <w:caps w:val="0"/>
          <w:color w:val="FF0000"/>
          <w:spacing w:val="30"/>
          <w:sz w:val="24"/>
          <w:szCs w:val="24"/>
        </w:rPr>
      </w:pPr>
      <w:bookmarkStart w:id="0" w:name="_GoBack"/>
      <w:r>
        <w:rPr>
          <w:rFonts w:hint="eastAsia" w:ascii="宋体" w:hAnsi="宋体" w:eastAsia="宋体" w:cs="宋体"/>
          <w:b/>
          <w:bCs/>
          <w:i w:val="0"/>
          <w:iCs w:val="0"/>
          <w:caps w:val="0"/>
          <w:color w:val="FF0000"/>
          <w:spacing w:val="30"/>
          <w:sz w:val="24"/>
          <w:szCs w:val="24"/>
          <w:bdr w:val="none" w:color="auto" w:sz="0" w:space="0"/>
          <w:shd w:val="clear" w:fill="FFFFFF"/>
          <w:vertAlign w:val="baseline"/>
        </w:rPr>
        <w:t>關於以製造業為重點促進外資擴增量穩存量提品質的若干政策措施</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both"/>
        <w:textAlignment w:val="baseline"/>
        <w:rPr>
          <w:rFonts w:hint="eastAsia" w:ascii="宋体" w:hAnsi="宋体" w:eastAsia="宋体" w:cs="宋体"/>
          <w:i w:val="0"/>
          <w:iCs w:val="0"/>
          <w:caps w:val="0"/>
          <w:color w:val="323232"/>
          <w:spacing w:val="30"/>
          <w:sz w:val="24"/>
          <w:szCs w:val="24"/>
        </w:rPr>
      </w:pPr>
      <w:r>
        <w:rPr>
          <w:rFonts w:hint="eastAsia" w:ascii="宋体" w:hAnsi="宋体" w:eastAsia="宋体" w:cs="宋体"/>
          <w:i w:val="0"/>
          <w:iCs w:val="0"/>
          <w:caps w:val="0"/>
          <w:color w:val="323232"/>
          <w:spacing w:val="30"/>
          <w:sz w:val="24"/>
          <w:szCs w:val="24"/>
          <w:bdr w:val="none" w:color="auto" w:sz="0" w:space="0"/>
          <w:shd w:val="clear" w:fill="FFFFFF"/>
          <w:vertAlign w:val="baseline"/>
        </w:rPr>
        <w:t>近年來，我國深入推進高水準對外開放，加快構建開放型經濟新體制，利用外資保持增長，為經濟健康發展發揮了積極作用。為落實黨中央、國務院決策部署，進一步擴大外資流入，穩定外商投資規模，提高利用外資品質，更好發揮利用外資在促進我國製造業高質量發展、更深融入全球產業鏈供應鏈的積極作用，經國務院同意，現提出以下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both"/>
        <w:textAlignment w:val="baseline"/>
        <w:rPr>
          <w:rFonts w:hint="eastAsia" w:ascii="宋体" w:hAnsi="宋体" w:eastAsia="宋体" w:cs="宋体"/>
          <w:i w:val="0"/>
          <w:iCs w:val="0"/>
          <w:caps w:val="0"/>
          <w:color w:val="323232"/>
          <w:spacing w:val="30"/>
          <w:sz w:val="24"/>
          <w:szCs w:val="24"/>
        </w:rPr>
      </w:pPr>
      <w:r>
        <w:rPr>
          <w:rFonts w:hint="eastAsia" w:ascii="宋体" w:hAnsi="宋体" w:eastAsia="宋体" w:cs="宋体"/>
          <w:i w:val="0"/>
          <w:iCs w:val="0"/>
          <w:caps w:val="0"/>
          <w:color w:val="323232"/>
          <w:spacing w:val="30"/>
          <w:sz w:val="24"/>
          <w:szCs w:val="24"/>
          <w:bdr w:val="none" w:color="auto" w:sz="0" w:space="0"/>
          <w:shd w:val="clear" w:fill="FFFFFF"/>
          <w:vertAlign w:val="baseline"/>
        </w:rPr>
        <w:t>一、優化投資環境，擴大外商投資流入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both"/>
        <w:textAlignment w:val="baseline"/>
        <w:rPr>
          <w:rFonts w:hint="eastAsia" w:ascii="宋体" w:hAnsi="宋体" w:eastAsia="宋体" w:cs="宋体"/>
          <w:i w:val="0"/>
          <w:iCs w:val="0"/>
          <w:caps w:val="0"/>
          <w:color w:val="323232"/>
          <w:spacing w:val="30"/>
          <w:sz w:val="24"/>
          <w:szCs w:val="24"/>
        </w:rPr>
      </w:pPr>
      <w:r>
        <w:rPr>
          <w:rFonts w:hint="eastAsia" w:ascii="宋体" w:hAnsi="宋体" w:eastAsia="宋体" w:cs="宋体"/>
          <w:i w:val="0"/>
          <w:iCs w:val="0"/>
          <w:caps w:val="0"/>
          <w:color w:val="323232"/>
          <w:spacing w:val="30"/>
          <w:sz w:val="24"/>
          <w:szCs w:val="24"/>
          <w:bdr w:val="none" w:color="auto" w:sz="0" w:space="0"/>
          <w:shd w:val="clear" w:fill="FFFFFF"/>
          <w:vertAlign w:val="baseline"/>
        </w:rPr>
        <w:t>（一）深入實施外資准入負面清單。做好 </w:t>
      </w:r>
      <w:r>
        <w:rPr>
          <w:rFonts w:hint="eastAsia" w:ascii="宋体" w:hAnsi="宋体" w:eastAsia="宋体" w:cs="宋体"/>
          <w:i w:val="0"/>
          <w:iCs w:val="0"/>
          <w:caps w:val="0"/>
          <w:color w:val="323232"/>
          <w:spacing w:val="30"/>
          <w:sz w:val="24"/>
          <w:szCs w:val="24"/>
          <w:bdr w:val="none" w:color="auto" w:sz="0" w:space="0"/>
          <w:shd w:val="clear" w:fill="FFFFFF"/>
          <w:vertAlign w:val="baseline"/>
        </w:rPr>
        <w:t>2021</w:t>
      </w:r>
      <w:r>
        <w:rPr>
          <w:rFonts w:hint="eastAsia" w:ascii="宋体" w:hAnsi="宋体" w:eastAsia="宋体" w:cs="宋体"/>
          <w:i w:val="0"/>
          <w:iCs w:val="0"/>
          <w:caps w:val="0"/>
          <w:color w:val="323232"/>
          <w:spacing w:val="30"/>
          <w:sz w:val="24"/>
          <w:szCs w:val="24"/>
          <w:bdr w:val="none" w:color="auto" w:sz="0" w:space="0"/>
          <w:shd w:val="clear" w:fill="FFFFFF"/>
          <w:vertAlign w:val="baseline"/>
        </w:rPr>
        <w:t> </w:t>
      </w:r>
      <w:r>
        <w:rPr>
          <w:rFonts w:hint="eastAsia" w:ascii="宋体" w:hAnsi="宋体" w:eastAsia="宋体" w:cs="宋体"/>
          <w:i w:val="0"/>
          <w:iCs w:val="0"/>
          <w:caps w:val="0"/>
          <w:color w:val="323232"/>
          <w:spacing w:val="30"/>
          <w:sz w:val="24"/>
          <w:szCs w:val="24"/>
          <w:bdr w:val="none" w:color="auto" w:sz="0" w:space="0"/>
          <w:shd w:val="clear" w:fill="FFFFFF"/>
          <w:vertAlign w:val="baseline"/>
        </w:rPr>
        <w:t>年版外資准入負面清單落實工作，確保新開放措施及時落地，儘快將開放政策轉化為實實在在的外資專案。落實外商投資法及其實施條例要求，對於外資准入負面清單之外的領域，按照內外資一致原則管理。繼續清理負面清單之外的限制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both"/>
        <w:textAlignment w:val="baseline"/>
        <w:rPr>
          <w:rFonts w:hint="eastAsia" w:ascii="宋体" w:hAnsi="宋体" w:eastAsia="宋体" w:cs="宋体"/>
          <w:i w:val="0"/>
          <w:iCs w:val="0"/>
          <w:caps w:val="0"/>
          <w:color w:val="323232"/>
          <w:spacing w:val="30"/>
          <w:sz w:val="24"/>
          <w:szCs w:val="24"/>
        </w:rPr>
      </w:pPr>
      <w:r>
        <w:rPr>
          <w:rFonts w:hint="eastAsia" w:ascii="宋体" w:hAnsi="宋体" w:eastAsia="宋体" w:cs="宋体"/>
          <w:i w:val="0"/>
          <w:iCs w:val="0"/>
          <w:caps w:val="0"/>
          <w:color w:val="323232"/>
          <w:spacing w:val="30"/>
          <w:sz w:val="24"/>
          <w:szCs w:val="24"/>
          <w:bdr w:val="none" w:color="auto" w:sz="0" w:space="0"/>
          <w:shd w:val="clear" w:fill="FFFFFF"/>
          <w:vertAlign w:val="baseline"/>
        </w:rPr>
        <w:t>（二）高標準落實外資准入後國民待遇。保障外商投資企業依法依規平等享受國家產業發展和區域發展等支持政策，確保外商投資企業在要素獲取、資質許可、經營運行、知識產權保護、標準制定、招標投標、政府採購等方面享受平等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both"/>
        <w:textAlignment w:val="baseline"/>
        <w:rPr>
          <w:rFonts w:hint="eastAsia" w:ascii="宋体" w:hAnsi="宋体" w:eastAsia="宋体" w:cs="宋体"/>
          <w:i w:val="0"/>
          <w:iCs w:val="0"/>
          <w:caps w:val="0"/>
          <w:color w:val="323232"/>
          <w:spacing w:val="30"/>
          <w:sz w:val="24"/>
          <w:szCs w:val="24"/>
        </w:rPr>
      </w:pPr>
      <w:r>
        <w:rPr>
          <w:rFonts w:hint="eastAsia" w:ascii="宋体" w:hAnsi="宋体" w:eastAsia="宋体" w:cs="宋体"/>
          <w:i w:val="0"/>
          <w:iCs w:val="0"/>
          <w:caps w:val="0"/>
          <w:color w:val="323232"/>
          <w:spacing w:val="30"/>
          <w:sz w:val="24"/>
          <w:szCs w:val="24"/>
          <w:bdr w:val="none" w:color="auto" w:sz="0" w:space="0"/>
          <w:shd w:val="clear" w:fill="FFFFFF"/>
          <w:vertAlign w:val="baseline"/>
        </w:rPr>
        <w:t>（三）推動外資專案簽約落地。發揮重大外資專案牽引帶動作用，給予專案用地、環評、規劃、能耗等政策支持。加大重點外資專案支持力度，加強用地、環保、物流、人員出入境等方面的服務保障。健全重大和重點外資專案工作專班機制，推動一批重大和重點外資專案儘快落地。地方相應的工作專班要創新工作方式，積極主動對接專案，建立健全專案儲備庫，全流程跟蹤服務專案落地實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both"/>
        <w:textAlignment w:val="baseline"/>
        <w:rPr>
          <w:rFonts w:hint="eastAsia" w:ascii="宋体" w:hAnsi="宋体" w:eastAsia="宋体" w:cs="宋体"/>
          <w:i w:val="0"/>
          <w:iCs w:val="0"/>
          <w:caps w:val="0"/>
          <w:color w:val="323232"/>
          <w:spacing w:val="30"/>
          <w:sz w:val="24"/>
          <w:szCs w:val="24"/>
        </w:rPr>
      </w:pPr>
      <w:r>
        <w:rPr>
          <w:rFonts w:hint="eastAsia" w:ascii="宋体" w:hAnsi="宋体" w:eastAsia="宋体" w:cs="宋体"/>
          <w:i w:val="0"/>
          <w:iCs w:val="0"/>
          <w:caps w:val="0"/>
          <w:color w:val="323232"/>
          <w:spacing w:val="30"/>
          <w:sz w:val="24"/>
          <w:szCs w:val="24"/>
          <w:bdr w:val="none" w:color="auto" w:sz="0" w:space="0"/>
          <w:shd w:val="clear" w:fill="FFFFFF"/>
          <w:vertAlign w:val="baseline"/>
        </w:rPr>
        <w:t>（四）強化土地要素保障。各地要推動專案跟著規劃走、土地要素跟著專案走，結合當地實際，進一步梳理明確製造業重點行業和領域，引導土地要素向建設快、發展好、單位產出高的專案配置，保障製造業外資專案合理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both"/>
        <w:textAlignment w:val="baseline"/>
        <w:rPr>
          <w:rFonts w:hint="eastAsia" w:ascii="宋体" w:hAnsi="宋体" w:eastAsia="宋体" w:cs="宋体"/>
          <w:i w:val="0"/>
          <w:iCs w:val="0"/>
          <w:caps w:val="0"/>
          <w:color w:val="323232"/>
          <w:spacing w:val="30"/>
          <w:sz w:val="24"/>
          <w:szCs w:val="24"/>
        </w:rPr>
      </w:pPr>
      <w:r>
        <w:rPr>
          <w:rFonts w:hint="eastAsia" w:ascii="宋体" w:hAnsi="宋体" w:eastAsia="宋体" w:cs="宋体"/>
          <w:i w:val="0"/>
          <w:iCs w:val="0"/>
          <w:caps w:val="0"/>
          <w:color w:val="323232"/>
          <w:spacing w:val="30"/>
          <w:sz w:val="24"/>
          <w:szCs w:val="24"/>
          <w:bdr w:val="none" w:color="auto" w:sz="0" w:space="0"/>
          <w:shd w:val="clear" w:fill="FFFFFF"/>
          <w:vertAlign w:val="baseline"/>
        </w:rPr>
        <w:t>（五）開展國際產業投資合作系列活動。組織實施國際產業投資合作系列活動，以及與外商投資企業、有關商會和世界經濟論壇等國際組織的對話交流活動。及時做好重大國家及區域發展戰略、外資、科技、產業等政策宣傳解讀，為跨國公司投資和各地方招商引資搭建平臺，支持跨國公司和地方深度對接、精准溝通，推動專案簽約落地。各地方要結合當地發展規劃和比較優勢，科學確定國際產業投資合作重點領域和專案，做好活動保障和成果落地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both"/>
        <w:textAlignment w:val="baseline"/>
        <w:rPr>
          <w:rFonts w:hint="eastAsia" w:ascii="宋体" w:hAnsi="宋体" w:eastAsia="宋体" w:cs="宋体"/>
          <w:i w:val="0"/>
          <w:iCs w:val="0"/>
          <w:caps w:val="0"/>
          <w:color w:val="323232"/>
          <w:spacing w:val="30"/>
          <w:sz w:val="24"/>
          <w:szCs w:val="24"/>
        </w:rPr>
      </w:pPr>
      <w:r>
        <w:rPr>
          <w:rFonts w:hint="eastAsia" w:ascii="宋体" w:hAnsi="宋体" w:eastAsia="宋体" w:cs="宋体"/>
          <w:i w:val="0"/>
          <w:iCs w:val="0"/>
          <w:caps w:val="0"/>
          <w:color w:val="323232"/>
          <w:spacing w:val="30"/>
          <w:sz w:val="24"/>
          <w:szCs w:val="24"/>
          <w:bdr w:val="none" w:color="auto" w:sz="0" w:space="0"/>
          <w:shd w:val="clear" w:fill="FFFFFF"/>
          <w:vertAlign w:val="baseline"/>
        </w:rPr>
        <w:t>（六）提升國際投資公共服務平臺效能。辦好中國國際投資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both"/>
        <w:textAlignment w:val="baseline"/>
        <w:rPr>
          <w:rFonts w:hint="eastAsia" w:ascii="宋体" w:hAnsi="宋体" w:eastAsia="宋体" w:cs="宋体"/>
          <w:i w:val="0"/>
          <w:iCs w:val="0"/>
          <w:caps w:val="0"/>
          <w:color w:val="323232"/>
          <w:spacing w:val="30"/>
          <w:sz w:val="24"/>
          <w:szCs w:val="24"/>
        </w:rPr>
      </w:pPr>
      <w:r>
        <w:rPr>
          <w:rFonts w:hint="eastAsia" w:ascii="宋体" w:hAnsi="宋体" w:eastAsia="宋体" w:cs="宋体"/>
          <w:i w:val="0"/>
          <w:iCs w:val="0"/>
          <w:caps w:val="0"/>
          <w:color w:val="323232"/>
          <w:spacing w:val="30"/>
          <w:sz w:val="24"/>
          <w:szCs w:val="24"/>
          <w:bdr w:val="none" w:color="auto" w:sz="0" w:space="0"/>
          <w:shd w:val="clear" w:fill="FFFFFF"/>
          <w:vertAlign w:val="baseline"/>
        </w:rPr>
        <w:t>貿易洽談會、中國中部投資貿易博覽會等重大展會，強化展會投資促進服務功能，加大跨國公司邀請力度，針對醫療、半導體、化工能源等重點產業鏈舉辦招商對接等投資促進活動。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both"/>
        <w:textAlignment w:val="baseline"/>
        <w:rPr>
          <w:rFonts w:hint="eastAsia" w:ascii="宋体" w:hAnsi="宋体" w:eastAsia="宋体" w:cs="宋体"/>
          <w:i w:val="0"/>
          <w:iCs w:val="0"/>
          <w:caps w:val="0"/>
          <w:color w:val="323232"/>
          <w:spacing w:val="30"/>
          <w:sz w:val="24"/>
          <w:szCs w:val="24"/>
        </w:rPr>
      </w:pPr>
      <w:r>
        <w:rPr>
          <w:rFonts w:hint="eastAsia" w:ascii="宋体" w:hAnsi="宋体" w:eastAsia="宋体" w:cs="宋体"/>
          <w:i w:val="0"/>
          <w:iCs w:val="0"/>
          <w:caps w:val="0"/>
          <w:color w:val="323232"/>
          <w:spacing w:val="30"/>
          <w:sz w:val="24"/>
          <w:szCs w:val="24"/>
          <w:bdr w:val="none" w:color="auto" w:sz="0" w:space="0"/>
          <w:shd w:val="clear" w:fill="FFFFFF"/>
          <w:vertAlign w:val="baseline"/>
        </w:rPr>
        <w:t>二、加強投資服務，支持外商投資企業發展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both"/>
        <w:textAlignment w:val="baseline"/>
        <w:rPr>
          <w:rFonts w:hint="eastAsia" w:ascii="宋体" w:hAnsi="宋体" w:eastAsia="宋体" w:cs="宋体"/>
          <w:i w:val="0"/>
          <w:iCs w:val="0"/>
          <w:caps w:val="0"/>
          <w:color w:val="323232"/>
          <w:spacing w:val="30"/>
          <w:sz w:val="24"/>
          <w:szCs w:val="24"/>
        </w:rPr>
      </w:pPr>
      <w:r>
        <w:rPr>
          <w:rFonts w:hint="eastAsia" w:ascii="宋体" w:hAnsi="宋体" w:eastAsia="宋体" w:cs="宋体"/>
          <w:i w:val="0"/>
          <w:iCs w:val="0"/>
          <w:caps w:val="0"/>
          <w:color w:val="323232"/>
          <w:spacing w:val="30"/>
          <w:sz w:val="24"/>
          <w:szCs w:val="24"/>
          <w:bdr w:val="none" w:color="auto" w:sz="0" w:space="0"/>
          <w:shd w:val="clear" w:fill="FFFFFF"/>
          <w:vertAlign w:val="baseline"/>
        </w:rPr>
        <w:t>（七）便利國際商務人員往來。在做好新冠肺炎疫情防控前提下，便利跨國公司、外商投資企業高管、技術人員及其家屬出入境。各地方要用好用足中外人員往來“快捷通道”，結合當地實際，進一步明確標準和流程，為外籍人員來華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both"/>
        <w:textAlignment w:val="baseline"/>
        <w:rPr>
          <w:rFonts w:hint="eastAsia" w:ascii="宋体" w:hAnsi="宋体" w:eastAsia="宋体" w:cs="宋体"/>
          <w:i w:val="0"/>
          <w:iCs w:val="0"/>
          <w:caps w:val="0"/>
          <w:color w:val="323232"/>
          <w:spacing w:val="30"/>
          <w:sz w:val="24"/>
          <w:szCs w:val="24"/>
        </w:rPr>
      </w:pPr>
      <w:r>
        <w:rPr>
          <w:rFonts w:hint="eastAsia" w:ascii="宋体" w:hAnsi="宋体" w:eastAsia="宋体" w:cs="宋体"/>
          <w:i w:val="0"/>
          <w:iCs w:val="0"/>
          <w:caps w:val="0"/>
          <w:color w:val="323232"/>
          <w:spacing w:val="30"/>
          <w:sz w:val="24"/>
          <w:szCs w:val="24"/>
          <w:bdr w:val="none" w:color="auto" w:sz="0" w:space="0"/>
          <w:shd w:val="clear" w:fill="FFFFFF"/>
          <w:vertAlign w:val="baseline"/>
        </w:rPr>
        <w:t>（八）加強貨運物流保通保暢。充分發揮國務院物流保通保暢工作領導小組作用，加強部門協同和部省聯動，高效統籌疫情防控和保通保暢工作，促進產業鏈供應鏈安全穩定。各地方要加強與外貿外資企業及其上下游關聯企業的主動對接，堅持一事一協調，保障外商投資等企業生產物資和產品運輸通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both"/>
        <w:textAlignment w:val="baseline"/>
        <w:rPr>
          <w:rFonts w:hint="eastAsia" w:ascii="宋体" w:hAnsi="宋体" w:eastAsia="宋体" w:cs="宋体"/>
          <w:i w:val="0"/>
          <w:iCs w:val="0"/>
          <w:caps w:val="0"/>
          <w:color w:val="323232"/>
          <w:spacing w:val="30"/>
          <w:sz w:val="24"/>
          <w:szCs w:val="24"/>
        </w:rPr>
      </w:pPr>
      <w:r>
        <w:rPr>
          <w:rFonts w:hint="eastAsia" w:ascii="宋体" w:hAnsi="宋体" w:eastAsia="宋体" w:cs="宋体"/>
          <w:i w:val="0"/>
          <w:iCs w:val="0"/>
          <w:caps w:val="0"/>
          <w:color w:val="323232"/>
          <w:spacing w:val="30"/>
          <w:sz w:val="24"/>
          <w:szCs w:val="24"/>
          <w:bdr w:val="none" w:color="auto" w:sz="0" w:space="0"/>
          <w:shd w:val="clear" w:fill="FFFFFF"/>
          <w:vertAlign w:val="baseline"/>
        </w:rPr>
        <w:t>（九）強化外商投資企業金融支持。支持符合條件的外商投資企業通過在主板、科創板、創業板、北京證券交易所上市，在新三板基礎層和創新層掛牌，以及發行公司信用類債券進行融資。支持各類金融機構在依法合規、風險可控前提下創新產品和服務，按照市場化原則為符合條件的外商投資企業提供優質金融服務和融資支持。鼓勵各地依法與各政策性銀行、大型銀行、股份制銀行等金融機構共用製造業外商投資企業和專案資訊，定期舉辦“銀企對接”活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both"/>
        <w:textAlignment w:val="baseline"/>
        <w:rPr>
          <w:rFonts w:hint="eastAsia" w:ascii="宋体" w:hAnsi="宋体" w:eastAsia="宋体" w:cs="宋体"/>
          <w:i w:val="0"/>
          <w:iCs w:val="0"/>
          <w:caps w:val="0"/>
          <w:color w:val="323232"/>
          <w:spacing w:val="30"/>
          <w:sz w:val="24"/>
          <w:szCs w:val="24"/>
        </w:rPr>
      </w:pPr>
      <w:r>
        <w:rPr>
          <w:rFonts w:hint="eastAsia" w:ascii="宋体" w:hAnsi="宋体" w:eastAsia="宋体" w:cs="宋体"/>
          <w:i w:val="0"/>
          <w:iCs w:val="0"/>
          <w:caps w:val="0"/>
          <w:color w:val="323232"/>
          <w:spacing w:val="30"/>
          <w:sz w:val="24"/>
          <w:szCs w:val="24"/>
          <w:bdr w:val="none" w:color="auto" w:sz="0" w:space="0"/>
          <w:shd w:val="clear" w:fill="FFFFFF"/>
          <w:vertAlign w:val="baseline"/>
        </w:rPr>
        <w:t>（十）鼓勵外商投資企業利潤再投資。落實好境外投資者以分配利潤直接投資暫不徵收預提所得稅等政策，進一步優化辦理流程，提高企業享受政策便利度。鼓勵地方給予外商投資企業利潤再投資與新增外資同樣的配套支持政策，加強土地、能源等要素保障。各地可以在法定許可權範圍內出臺招商引資優惠政策，鼓勵外商投資企業境內再投資製造業領域，降低企業投資和運營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both"/>
        <w:textAlignment w:val="baseline"/>
        <w:rPr>
          <w:rFonts w:hint="eastAsia" w:ascii="宋体" w:hAnsi="宋体" w:eastAsia="宋体" w:cs="宋体"/>
          <w:i w:val="0"/>
          <w:iCs w:val="0"/>
          <w:caps w:val="0"/>
          <w:color w:val="323232"/>
          <w:spacing w:val="30"/>
          <w:sz w:val="24"/>
          <w:szCs w:val="24"/>
        </w:rPr>
      </w:pPr>
      <w:r>
        <w:rPr>
          <w:rFonts w:hint="eastAsia" w:ascii="宋体" w:hAnsi="宋体" w:eastAsia="宋体" w:cs="宋体"/>
          <w:i w:val="0"/>
          <w:iCs w:val="0"/>
          <w:caps w:val="0"/>
          <w:color w:val="323232"/>
          <w:spacing w:val="30"/>
          <w:sz w:val="24"/>
          <w:szCs w:val="24"/>
          <w:bdr w:val="none" w:color="auto" w:sz="0" w:space="0"/>
          <w:shd w:val="clear" w:fill="FFFFFF"/>
          <w:vertAlign w:val="baseline"/>
        </w:rPr>
        <w:t>（十一）支持製造業外商投資企業進出口。高質量實施區域全面經濟夥伴關係協定（</w:t>
      </w:r>
      <w:r>
        <w:rPr>
          <w:rFonts w:hint="eastAsia" w:ascii="宋体" w:hAnsi="宋体" w:eastAsia="宋体" w:cs="宋体"/>
          <w:i w:val="0"/>
          <w:iCs w:val="0"/>
          <w:caps w:val="0"/>
          <w:color w:val="323232"/>
          <w:spacing w:val="30"/>
          <w:sz w:val="24"/>
          <w:szCs w:val="24"/>
          <w:bdr w:val="none" w:color="auto" w:sz="0" w:space="0"/>
          <w:shd w:val="clear" w:fill="FFFFFF"/>
          <w:vertAlign w:val="baseline"/>
        </w:rPr>
        <w:t>RCEP</w:t>
      </w:r>
      <w:r>
        <w:rPr>
          <w:rFonts w:hint="eastAsia" w:ascii="宋体" w:hAnsi="宋体" w:eastAsia="宋体" w:cs="宋体"/>
          <w:i w:val="0"/>
          <w:iCs w:val="0"/>
          <w:caps w:val="0"/>
          <w:color w:val="323232"/>
          <w:spacing w:val="30"/>
          <w:sz w:val="24"/>
          <w:szCs w:val="24"/>
          <w:bdr w:val="none" w:color="auto" w:sz="0" w:space="0"/>
          <w:shd w:val="clear" w:fill="FFFFFF"/>
          <w:vertAlign w:val="baseline"/>
        </w:rPr>
        <w:t>），鼓勵各地開展公共服務平臺建設，加大面向製造業外商投資企業的 </w:t>
      </w:r>
      <w:r>
        <w:rPr>
          <w:rFonts w:hint="eastAsia" w:ascii="宋体" w:hAnsi="宋体" w:eastAsia="宋体" w:cs="宋体"/>
          <w:i w:val="0"/>
          <w:iCs w:val="0"/>
          <w:caps w:val="0"/>
          <w:color w:val="323232"/>
          <w:spacing w:val="30"/>
          <w:sz w:val="24"/>
          <w:szCs w:val="24"/>
          <w:bdr w:val="none" w:color="auto" w:sz="0" w:space="0"/>
          <w:shd w:val="clear" w:fill="FFFFFF"/>
          <w:vertAlign w:val="baseline"/>
        </w:rPr>
        <w:t>RCEP </w:t>
      </w:r>
      <w:r>
        <w:rPr>
          <w:rFonts w:hint="eastAsia" w:ascii="宋体" w:hAnsi="宋体" w:eastAsia="宋体" w:cs="宋体"/>
          <w:i w:val="0"/>
          <w:iCs w:val="0"/>
          <w:caps w:val="0"/>
          <w:color w:val="323232"/>
          <w:spacing w:val="30"/>
          <w:sz w:val="24"/>
          <w:szCs w:val="24"/>
          <w:bdr w:val="none" w:color="auto" w:sz="0" w:space="0"/>
          <w:shd w:val="clear" w:fill="FFFFFF"/>
          <w:vertAlign w:val="baseline"/>
        </w:rPr>
        <w:t>規則宣傳培訓，指導企業熟悉和掌握市場開放承諾和規則，發掘市場機遇。加大貿易便利化政策宣介力度，為製造業外商投資企業提供自貿協定、貿易通關、出口管制、貿易救濟等方面的服務和指導。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both"/>
        <w:textAlignment w:val="baseline"/>
        <w:rPr>
          <w:rFonts w:hint="eastAsia" w:ascii="宋体" w:hAnsi="宋体" w:eastAsia="宋体" w:cs="宋体"/>
          <w:i w:val="0"/>
          <w:iCs w:val="0"/>
          <w:caps w:val="0"/>
          <w:color w:val="323232"/>
          <w:spacing w:val="30"/>
          <w:sz w:val="24"/>
          <w:szCs w:val="24"/>
        </w:rPr>
      </w:pPr>
      <w:r>
        <w:rPr>
          <w:rFonts w:hint="eastAsia" w:ascii="宋体" w:hAnsi="宋体" w:eastAsia="宋体" w:cs="宋体"/>
          <w:i w:val="0"/>
          <w:iCs w:val="0"/>
          <w:caps w:val="0"/>
          <w:color w:val="323232"/>
          <w:spacing w:val="30"/>
          <w:sz w:val="24"/>
          <w:szCs w:val="24"/>
          <w:bdr w:val="none" w:color="auto" w:sz="0" w:space="0"/>
          <w:shd w:val="clear" w:fill="FFFFFF"/>
          <w:vertAlign w:val="baseline"/>
        </w:rPr>
        <w:t>三、引導投資方向，提升外商投資品質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both"/>
        <w:textAlignment w:val="baseline"/>
        <w:rPr>
          <w:rFonts w:hint="eastAsia" w:ascii="宋体" w:hAnsi="宋体" w:eastAsia="宋体" w:cs="宋体"/>
          <w:i w:val="0"/>
          <w:iCs w:val="0"/>
          <w:caps w:val="0"/>
          <w:color w:val="323232"/>
          <w:spacing w:val="30"/>
          <w:sz w:val="24"/>
          <w:szCs w:val="24"/>
        </w:rPr>
      </w:pPr>
      <w:r>
        <w:rPr>
          <w:rFonts w:hint="eastAsia" w:ascii="宋体" w:hAnsi="宋体" w:eastAsia="宋体" w:cs="宋体"/>
          <w:i w:val="0"/>
          <w:iCs w:val="0"/>
          <w:caps w:val="0"/>
          <w:color w:val="323232"/>
          <w:spacing w:val="30"/>
          <w:sz w:val="24"/>
          <w:szCs w:val="24"/>
          <w:bdr w:val="none" w:color="auto" w:sz="0" w:space="0"/>
          <w:shd w:val="clear" w:fill="FFFFFF"/>
          <w:vertAlign w:val="baseline"/>
        </w:rPr>
        <w:t>（十二）優化外商投資結構。對標“十四五”規劃《綱要》要求，在先進製造業和高新技術方面，重點鼓勵外商投資高端裝備、基礎元器件、關鍵零部件等領域。在現代服務業方面，重點鼓勵外商投資研發設計、現代物流等領域。在節能環保方面，重點鼓勵外商投資新能源、綠色低碳關鍵技術創新和示範應用等領域。在區域佈局方面，給予中西部和東北地區基礎製造、適用技術、民生消費等領域政策支持。實施好鼓勵外商投資產業目錄配套政策，確保符合條件的外資專案和企業應享盡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both"/>
        <w:textAlignment w:val="baseline"/>
        <w:rPr>
          <w:rFonts w:hint="eastAsia" w:ascii="宋体" w:hAnsi="宋体" w:eastAsia="宋体" w:cs="宋体"/>
          <w:i w:val="0"/>
          <w:iCs w:val="0"/>
          <w:caps w:val="0"/>
          <w:color w:val="323232"/>
          <w:spacing w:val="30"/>
          <w:sz w:val="24"/>
          <w:szCs w:val="24"/>
        </w:rPr>
      </w:pPr>
      <w:r>
        <w:rPr>
          <w:rFonts w:hint="eastAsia" w:ascii="宋体" w:hAnsi="宋体" w:eastAsia="宋体" w:cs="宋体"/>
          <w:i w:val="0"/>
          <w:iCs w:val="0"/>
          <w:caps w:val="0"/>
          <w:color w:val="323232"/>
          <w:spacing w:val="30"/>
          <w:sz w:val="24"/>
          <w:szCs w:val="24"/>
          <w:bdr w:val="none" w:color="auto" w:sz="0" w:space="0"/>
          <w:shd w:val="clear" w:fill="FFFFFF"/>
          <w:vertAlign w:val="baseline"/>
        </w:rPr>
        <w:t>（十三）支持外商投資創新發展。各地要引導外資研發中心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both"/>
        <w:textAlignment w:val="baseline"/>
        <w:rPr>
          <w:rFonts w:hint="eastAsia" w:ascii="宋体" w:hAnsi="宋体" w:eastAsia="宋体" w:cs="宋体"/>
          <w:i w:val="0"/>
          <w:iCs w:val="0"/>
          <w:caps w:val="0"/>
          <w:color w:val="323232"/>
          <w:spacing w:val="30"/>
          <w:sz w:val="24"/>
          <w:szCs w:val="24"/>
        </w:rPr>
      </w:pPr>
      <w:r>
        <w:rPr>
          <w:rFonts w:hint="eastAsia" w:ascii="宋体" w:hAnsi="宋体" w:eastAsia="宋体" w:cs="宋体"/>
          <w:i w:val="0"/>
          <w:iCs w:val="0"/>
          <w:caps w:val="0"/>
          <w:color w:val="323232"/>
          <w:spacing w:val="30"/>
          <w:sz w:val="24"/>
          <w:szCs w:val="24"/>
          <w:bdr w:val="none" w:color="auto" w:sz="0" w:space="0"/>
          <w:shd w:val="clear" w:fill="FFFFFF"/>
          <w:vertAlign w:val="baseline"/>
        </w:rPr>
        <w:t>用好“十四五”時期支持科技創新進口稅收政策，進一步簡化核定名單程式、優化工作流程，鼓勵外資在華設立研發中心，深化科技開放合作。支持外商投資企業將研發設計等環節設在我國， 打造產業鏈共同體。鼓勵外資充分發揮資 和技術優勢，深入參與智能製造，建設智能製造示範工廠。引導外資積極參與國家新型工業化產業示範基地、先進製造業集群建設。積極引入國際創新資源，提升重大科技基礎設施對外開放合作水準，支持外商投資企業承擔國家科技計畫專案、引進國際一流人才團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both"/>
        <w:textAlignment w:val="baseline"/>
        <w:rPr>
          <w:rFonts w:hint="eastAsia" w:ascii="宋体" w:hAnsi="宋体" w:eastAsia="宋体" w:cs="宋体"/>
          <w:i w:val="0"/>
          <w:iCs w:val="0"/>
          <w:caps w:val="0"/>
          <w:color w:val="323232"/>
          <w:spacing w:val="30"/>
          <w:sz w:val="24"/>
          <w:szCs w:val="24"/>
        </w:rPr>
      </w:pPr>
      <w:r>
        <w:rPr>
          <w:rFonts w:hint="eastAsia" w:ascii="宋体" w:hAnsi="宋体" w:eastAsia="宋体" w:cs="宋体"/>
          <w:i w:val="0"/>
          <w:iCs w:val="0"/>
          <w:caps w:val="0"/>
          <w:color w:val="323232"/>
          <w:spacing w:val="30"/>
          <w:sz w:val="24"/>
          <w:szCs w:val="24"/>
          <w:bdr w:val="none" w:color="auto" w:sz="0" w:space="0"/>
          <w:shd w:val="clear" w:fill="FFFFFF"/>
          <w:vertAlign w:val="baseline"/>
        </w:rPr>
        <w:t>（十四）加快外商投資綠色低碳升級。引導外資積極參與碳達峰碳中和戰略，實施工業低碳行動和綠色製造工程，支持開發綠色技術、設計綠色產品、建設綠色工廠，打造綠色供應鏈，創建綠色設計示範企業。支持外商投資企業平等參與綠色低碳領域相關標準制修訂，科學確定國家重點產品能效能耗限額要求。支持外商投資企業參與綠色低碳技術研發和推廣應用，鼓勵外商投資企業做能效、水效等方面的“領跑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both"/>
        <w:textAlignment w:val="baseline"/>
        <w:rPr>
          <w:rFonts w:hint="eastAsia" w:ascii="宋体" w:hAnsi="宋体" w:eastAsia="宋体" w:cs="宋体"/>
          <w:i w:val="0"/>
          <w:iCs w:val="0"/>
          <w:caps w:val="0"/>
          <w:color w:val="323232"/>
          <w:spacing w:val="30"/>
          <w:sz w:val="24"/>
          <w:szCs w:val="24"/>
        </w:rPr>
      </w:pPr>
      <w:r>
        <w:rPr>
          <w:rFonts w:hint="eastAsia" w:ascii="宋体" w:hAnsi="宋体" w:eastAsia="宋体" w:cs="宋体"/>
          <w:i w:val="0"/>
          <w:iCs w:val="0"/>
          <w:caps w:val="0"/>
          <w:color w:val="323232"/>
          <w:spacing w:val="30"/>
          <w:sz w:val="24"/>
          <w:szCs w:val="24"/>
          <w:bdr w:val="none" w:color="auto" w:sz="0" w:space="0"/>
          <w:shd w:val="clear" w:fill="FFFFFF"/>
          <w:vertAlign w:val="baseline"/>
        </w:rPr>
        <w:t>（十五）引導製造業外商投資企業國內梯度轉移。統籌組織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both"/>
        <w:textAlignment w:val="baseline"/>
        <w:rPr>
          <w:rFonts w:hint="eastAsia" w:ascii="宋体" w:hAnsi="宋体" w:eastAsia="宋体" w:cs="宋体"/>
          <w:i w:val="0"/>
          <w:iCs w:val="0"/>
          <w:caps w:val="0"/>
          <w:color w:val="323232"/>
          <w:spacing w:val="30"/>
          <w:sz w:val="24"/>
          <w:szCs w:val="24"/>
        </w:rPr>
      </w:pPr>
      <w:r>
        <w:rPr>
          <w:rFonts w:hint="eastAsia" w:ascii="宋体" w:hAnsi="宋体" w:eastAsia="宋体" w:cs="宋体"/>
          <w:i w:val="0"/>
          <w:iCs w:val="0"/>
          <w:caps w:val="0"/>
          <w:color w:val="323232"/>
          <w:spacing w:val="30"/>
          <w:sz w:val="24"/>
          <w:szCs w:val="24"/>
          <w:bdr w:val="none" w:color="auto" w:sz="0" w:space="0"/>
          <w:shd w:val="clear" w:fill="FFFFFF"/>
          <w:vertAlign w:val="baseline"/>
        </w:rPr>
        <w:t>“跨國公司地方行”等活動，重點推動邀請製造業領域跨國公司優先到產業發展基礎較好的中西部和東北地區發展。持續支持中西部和東北地區國家級新區和開發區，以及承接產業轉移示範區、加工貿易梯度轉移重點承接地、國家加工貿易產業園更好發揮製造業引資帶動作用，承接國際國內產業轉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0"/>
        <w:jc w:val="both"/>
        <w:textAlignment w:val="baseline"/>
        <w:rPr>
          <w:rFonts w:hint="eastAsia" w:ascii="宋体" w:hAnsi="宋体" w:eastAsia="宋体" w:cs="宋体"/>
          <w:i w:val="0"/>
          <w:iCs w:val="0"/>
          <w:caps w:val="0"/>
          <w:color w:val="323232"/>
          <w:spacing w:val="30"/>
          <w:sz w:val="24"/>
          <w:szCs w:val="24"/>
        </w:rPr>
      </w:pPr>
      <w:r>
        <w:rPr>
          <w:rFonts w:hint="eastAsia" w:ascii="宋体" w:hAnsi="宋体" w:eastAsia="宋体" w:cs="宋体"/>
          <w:i w:val="0"/>
          <w:iCs w:val="0"/>
          <w:caps w:val="0"/>
          <w:color w:val="323232"/>
          <w:spacing w:val="30"/>
          <w:sz w:val="24"/>
          <w:szCs w:val="24"/>
          <w:bdr w:val="none" w:color="auto" w:sz="0" w:space="0"/>
          <w:shd w:val="clear" w:fill="FFFFFF"/>
          <w:vertAlign w:val="baseline"/>
        </w:rPr>
        <w:t>各有關部門、各地方要高度重視，加強配合，做好外資擴增量、穩存量、提品質各項工作，營造更加優化的政策環境，穩定外商投資預期、提振外商投資信心，推動利用外資高質量發展， 支持外商投資企業更好融入國內大循環，促進國內國際雙迴圈。吸引外資大省要充分發揮優勢，加大引資力度，增強對全國穩外資的帶動作用。</w:t>
      </w:r>
    </w:p>
    <w:p>
      <w:pPr>
        <w:rPr>
          <w:rFonts w:hint="eastAsia" w:ascii="宋体" w:hAnsi="宋体" w:eastAsia="宋体" w:cs="宋体"/>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53BD6723"/>
    <w:rsid w:val="1E0974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138</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2022-10-24T05:13:00Z</dcterms:created>
  <dc:creator>周强</dc:creator>
  <cp:lastModifiedBy>周强</cp:lastModifiedBy>
  <dcterms:modified xsi:type="dcterms:W3CDTF">2022-10-25T03:27:10Z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27CF42AD4AED42B69DA43A48C61637EE</vt:lpwstr>
  </property>
</Properties>
</file>