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bCs/>
          <w:i w:val="0"/>
          <w:iCs w:val="0"/>
          <w:caps w:val="0"/>
          <w:color w:val="FF0000"/>
          <w:spacing w:val="0"/>
          <w:sz w:val="28"/>
          <w:szCs w:val="28"/>
        </w:rPr>
      </w:pPr>
      <w:bookmarkStart w:id="0" w:name="_GoBack"/>
      <w:r>
        <w:rPr>
          <w:rFonts w:hint="eastAsia" w:ascii="宋体" w:hAnsi="宋体" w:eastAsia="宋体" w:cs="宋体"/>
          <w:b/>
          <w:bCs/>
          <w:i w:val="0"/>
          <w:iCs w:val="0"/>
          <w:caps w:val="0"/>
          <w:color w:val="FF0000"/>
          <w:spacing w:val="0"/>
          <w:sz w:val="28"/>
          <w:szCs w:val="28"/>
          <w:bdr w:val="none" w:color="auto" w:sz="0" w:space="0"/>
          <w:shd w:val="clear" w:fill="FFFFFF"/>
        </w:rPr>
        <w:t>财政部 税务总局关于租入固定资产进项税额抵扣等增值税政策的通知</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999999"/>
          <w:sz w:val="24"/>
          <w:szCs w:val="24"/>
        </w:rPr>
      </w:pPr>
      <w:r>
        <w:rPr>
          <w:rFonts w:hint="eastAsia" w:ascii="宋体" w:hAnsi="宋体" w:eastAsia="宋体" w:cs="宋体"/>
          <w:i w:val="0"/>
          <w:iCs w:val="0"/>
          <w:caps w:val="0"/>
          <w:color w:val="999999"/>
          <w:spacing w:val="0"/>
          <w:sz w:val="24"/>
          <w:szCs w:val="24"/>
          <w:bdr w:val="none" w:color="auto" w:sz="0" w:space="0"/>
          <w:shd w:val="clear" w:fill="FFFFFF"/>
        </w:rPr>
        <w:t>发布日期：2018年04月28日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2017年12月25日 财税〔2017〕90号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各省、自治区、直辖市、计划单列市财政厅（局）、国家税务局、地方税务局，新疆生产建设兵团财务局：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现将租入固定资产进项税额抵扣等增值税政策通知如下：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一、自2018年1月1日起，纳税人租入固定资产、不动产，既用于一般计税方法计税项目，又用于简易计税方法计税项目、免征增值税项目、集体福利或者个人消费的，其进项税额准予从销项税额中全额抵扣。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自2018年1月1日起，纳税人已售票但客户逾期未消费取得的运输逾期票证收入，按照“交通运输服务”缴纳增值税。纳税人为客户办理退票而向客户收取的退票费、手续费等收入，按照“其他现代服务”缴纳增值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自2018年1月1日起，航空运输销售代理企业提供境外航段机票代理服务，以取得的全部价款和价外费用，扣除向客户收取并支付给其他单位或者个人的境外航段机票结算款和相关费用后的余额为销售额。其中，支付给境内单位或者个人的款项，以发票或行程单为合法有效凭证；支付给境外单位或者个人的款项，以签收单据为合法有效凭证，税务机关对签收单据有疑义的，可以要求其提供境外公证机构的确认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航空运输销售代理企业，是指根据《航空运输销售代理资质认可办法》取得中国航空运输协会颁发的“航空运输销售代理业务资质认可证书”，接受中国航空运输企业或通航中国的外国航空运输企业委托，依照双方签订的委托销售代理合同提供代理服务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自2016年5月1日至2017年6月30日，纳税人采取转包、出租、互换、转让、入股等方式将承包地流转给农业生产者用于农业生产，免征增值税。本通知下发前已征的增值税，可抵减以后月份应缴纳的增值税，或办理退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五、根据《财政部 税务总局关于资管产品增值税有关问题的通知》（财税〔2017〕56号）有关规定，自2018年1月1日起,资管产品管理人运营资管产品提供的贷款服务、发生的部分金融商品转让业务，按照以下规定确定销售额：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（一）提供贷款服务，以2018年1月1日起产生的利息及利息性质的收入为销售额；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转让2017年12月31日前取得的股票（不包括限售股）、债券、基金、非货物期货，可以选择按照实际买入价计算销售额，或者以2017年最后一个交易日的股票收盘价（2017年最后一个交易日处于停牌期间的股票，为停牌前最后一个交易日收盘价）、债券估值（中债金融估值中心有限公司或中证指数有限公司提供的债券估值）、基金份额净值、非货物期货结算价格作为买入价计算销售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自2018年1月1日至2019年12月31日，纳税人为农户、小型企业、微型企业及个体工商户借款、发行债券提供融资担保取得的担保费收入，以及为上述融资担保（以下称“原担保”）提供再担保取得的再担保费收入，免征增值税。再担保合同对应多个原担保合同的，原担保合同应全部适用免征增值税政策。否则，再担保合同应按规定缴纳增值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纳税人应将相关免税证明材料留存备查，单独核算符合免税条件的融资担保费和再担保费收入，按现行规定向主管税务机关办理纳税申报；未单独核算的，不得免征增值税。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担保、再担保的判定应以原担保生效时的被担保人是否属于农户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小型企业、微型企业，是指符合《中小企业划型标准规定》（工信部联企业〔2011〕300号）的小型企业和微型企业。其中，资产总额和从业人员指标均以原担保生效时的实际状态确定；营业收入指标以原担保生效前12个自然月的累计数确定，不满12个自然月的，按照以下公式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营业收入（年）=企业实际存续期间营业收入/企业实际存续月数×12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《财政部 税务总局关于全面推开营业税改征增值税试点的通知》（财税〔2016〕36号）附件3《营业税改征增值税试点过渡政策的规定》第一条第（二十四）款规定的中小企业信用担保增值税免税政策自2018年1月1日起停止执行。纳税人享受中小企业信用担保增值税免税政策在2017年12月31日前未满3年的，可以继续享受至3年期满为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七、自2018年1月1日起，纳税人支付的道路、桥、闸通行费，按照以下规定抵扣进项税额：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（一）纳税人支付的道路通行费，按照收费公路通行费增值税电子普通发票上注明的增值税额抵扣进项税额。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2018年1月1日至6月30日，纳税人支付的高速公路通行费，如暂未能取得收费公路通行费增值税电子普通发票，可凭取得的通行费发票（不含财政票据，下同）上注明的收费金额按照下列公式计算可抵扣的进项税额：</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高速公路通行费可抵扣进项税额=高速公路通行费发票上注明的金额÷（1+3%）×3%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2018年1月1日至12月31日，纳税人支付的一级、二级公路通行费，如暂未能取得收费公路通行费增值税电子普通发票，可凭取得的通行费发票上注明的收费金额按照下列公式计算可抵扣进项税额：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一级、二级公路通行费可抵扣进项税额=一级、二级公路通行费发票上注明的金额÷（1+5%）×5%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（二）纳税人支付的桥、闸通行费，暂凭取得的通行费发票上注明的收费金额按照下列公式计算可抵扣的进项税额：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桥、闸通行费可抵扣进项税额=桥、闸通行费发票上注明的金额÷（1+5%）×5%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（三）本通知所称通行费，是指有关单位依法或者依规设立并收取的过路、过桥和过闸费用。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《财政部 国家税务总局关于收费公路通行费增值税抵扣有关问题的通知》（财税〔2016〕86号）自2018年1月1日起停止执行。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八、自2016年5月1日起，社会团体收取的会费，免征增值税。本通知下发前已征的增值税，可抵减以后月份应缴纳的增值税，或办理退税。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社会团体，是指依照国家有关法律法规设立或登记并取得《社会团体法人登记证书》的非营利法人。会费，是指社会团体在国家法律法规、政策许可的范围内，依照社团章程的规定，收取的个人会员、单位会员和团体会员的会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社会团体开展经营服务性活动取得的其他收入，一律照章缴纳增值税。</w:t>
      </w:r>
    </w:p>
    <w:p>
      <w:pPr>
        <w:keepNext w:val="0"/>
        <w:keepLines w:val="0"/>
        <w:pageBreakBefore w:val="0"/>
        <w:kinsoku/>
        <w:wordWrap/>
        <w:overflowPunct/>
        <w:topLinePunct w:val="0"/>
        <w:autoSpaceDE/>
        <w:autoSpaceDN/>
        <w:bidi w:val="0"/>
        <w:adjustRightInd/>
        <w:snapToGrid/>
        <w:spacing w:after="157" w:afterLines="50" w:line="360" w:lineRule="auto"/>
        <w:ind w:firstLine="0" w:firstLineChars="0"/>
        <w:jc w:val="left"/>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DQ1MTQ3NTY0MThjMTQzN2QzNzYyOGE5NTIxZjEifQ=="/>
  </w:docVars>
  <w:rsids>
    <w:rsidRoot w:val="30137169"/>
    <w:rsid w:val="301371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2022-09-23T03:18:00Z</dcterms:created>
  <dc:creator>周强</dc:creator>
  <cp:lastModifiedBy>周强</cp:lastModifiedBy>
  <dcterms:modified xsi:type="dcterms:W3CDTF">2022-09-23T03:20:40Z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B9C8BC3815AD4E4582EEA1DB0C56A290</vt:lpwstr>
  </property>
</Properties>
</file>