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rPr>
          <w:rFonts w:ascii="Times New Roman"/>
          <w:sz w:val="28"/>
          <w:szCs w:val="28"/>
        </w:rPr>
      </w:pPr>
    </w:p>
    <w:p>
      <w:pPr>
        <w:pStyle w:val="3"/>
        <w:rPr>
          <w:rFonts w:ascii="Times New Roman"/>
          <w:sz w:val="28"/>
          <w:szCs w:val="28"/>
        </w:rPr>
      </w:pPr>
    </w:p>
    <w:p>
      <w:pPr>
        <w:pStyle w:val="3"/>
        <w:jc w:val="center"/>
        <w:rPr>
          <w:rFonts w:ascii="Times New Roman"/>
          <w:sz w:val="28"/>
          <w:szCs w:val="28"/>
        </w:rPr>
      </w:pPr>
      <w:r>
        <w:rPr>
          <w:rFonts w:hint="eastAsia" w:ascii="Times New Roman" w:eastAsia="宋体"/>
          <w:color w:val="FF0000"/>
          <w:sz w:val="48"/>
          <w:szCs w:val="48"/>
          <w:lang w:eastAsia="zh-CN"/>
        </w:rPr>
        <w:t>中國銀行業協會檔</w:t>
      </w:r>
    </w:p>
    <w:p>
      <w:pPr>
        <w:pStyle w:val="3"/>
        <w:spacing w:before="1"/>
        <w:rPr>
          <w:rFonts w:ascii="Times New Roman"/>
          <w:sz w:val="28"/>
          <w:szCs w:val="28"/>
        </w:rPr>
      </w:pPr>
    </w:p>
    <w:p>
      <w:pPr>
        <w:pStyle w:val="3"/>
        <w:spacing w:before="54"/>
        <w:ind w:left="177" w:right="437"/>
        <w:jc w:val="center"/>
        <w:rPr>
          <w:sz w:val="28"/>
          <w:szCs w:val="28"/>
        </w:rPr>
      </w:pPr>
      <w:r>
        <w:rPr>
          <w:rFonts w:eastAsia="宋体"/>
          <w:sz w:val="28"/>
          <w:szCs w:val="28"/>
        </w:rPr>
        <w:t>銀協發〔2019〕156 號</w:t>
      </w:r>
    </w:p>
    <w:p>
      <w:pPr>
        <w:pStyle w:val="3"/>
        <w:spacing w:before="11"/>
        <w:rPr>
          <w:sz w:val="28"/>
          <w:szCs w:val="28"/>
        </w:rPr>
      </w:pPr>
    </w:p>
    <w:p>
      <w:pPr>
        <w:pStyle w:val="3"/>
        <w:spacing w:line="20" w:lineRule="exact"/>
        <w:ind w:left="-254"/>
        <w:rPr>
          <w:sz w:val="28"/>
          <w:szCs w:val="28"/>
        </w:rPr>
      </w:pPr>
      <w:r>
        <w:rPr>
          <w:sz w:val="28"/>
          <w:szCs w:val="28"/>
        </w:rPr>
        <w:pict>
          <v:group id="_x0000_s1031" o:spid="_x0000_s1031" o:spt="203" style="height:1pt;width:450pt;" coordsize="9000,20">
            <o:lock v:ext="edit"/>
            <v:rect id="_x0000_s1032" o:spid="_x0000_s1032" o:spt="1" style="position:absolute;left:0;top:0;height:20;width:9000;" fillcolor="#FF0000" filled="t" stroked="f" coordsize="21600,21600">
              <v:path/>
              <v:fill on="t" focussize="0,0"/>
              <v:stroke on="f"/>
              <v:imagedata o:title=""/>
              <o:lock v:ext="edit"/>
            </v:rect>
            <w10:wrap type="none"/>
            <w10:anchorlock/>
          </v:group>
        </w:pict>
      </w:r>
    </w:p>
    <w:p>
      <w:pPr>
        <w:pStyle w:val="3"/>
        <w:rPr>
          <w:sz w:val="28"/>
          <w:szCs w:val="28"/>
        </w:rPr>
      </w:pPr>
    </w:p>
    <w:p>
      <w:pPr>
        <w:pStyle w:val="3"/>
        <w:rPr>
          <w:sz w:val="28"/>
          <w:szCs w:val="28"/>
        </w:rPr>
      </w:pPr>
    </w:p>
    <w:p>
      <w:pPr>
        <w:pStyle w:val="2"/>
        <w:spacing w:line="312" w:lineRule="auto"/>
        <w:ind w:right="437"/>
        <w:rPr>
          <w:sz w:val="28"/>
          <w:szCs w:val="28"/>
        </w:rPr>
      </w:pPr>
      <w:bookmarkStart w:id="0" w:name="_GoBack"/>
      <w:r>
        <w:rPr>
          <w:rFonts w:eastAsia="宋体"/>
          <w:spacing w:val="3"/>
          <w:w w:val="90"/>
          <w:sz w:val="28"/>
          <w:szCs w:val="28"/>
        </w:rPr>
        <w:t>關於印發《</w:t>
      </w:r>
      <w:r>
        <w:rPr>
          <w:rFonts w:eastAsia="宋体"/>
          <w:spacing w:val="3"/>
          <w:w w:val="90"/>
          <w:sz w:val="28"/>
          <w:szCs w:val="28"/>
        </w:rPr>
        <w:t xml:space="preserve">中國銀行業協會商業銀行福費廷業務指引》 </w:t>
      </w:r>
      <w:r>
        <w:rPr>
          <w:rFonts w:eastAsia="宋体"/>
          <w:spacing w:val="3"/>
          <w:sz w:val="28"/>
          <w:szCs w:val="28"/>
        </w:rPr>
        <w:t>的通知</w:t>
      </w:r>
    </w:p>
    <w:bookmarkEnd w:id="0"/>
    <w:p>
      <w:pPr>
        <w:pStyle w:val="3"/>
        <w:rPr>
          <w:sz w:val="28"/>
          <w:szCs w:val="28"/>
        </w:rPr>
      </w:pPr>
    </w:p>
    <w:p>
      <w:pPr>
        <w:pStyle w:val="3"/>
        <w:ind w:left="160"/>
        <w:rPr>
          <w:sz w:val="28"/>
          <w:szCs w:val="28"/>
        </w:rPr>
      </w:pPr>
      <w:r>
        <w:rPr>
          <w:rFonts w:eastAsia="宋体"/>
          <w:sz w:val="28"/>
          <w:szCs w:val="28"/>
        </w:rPr>
        <w:t>各會員單位：</w:t>
      </w:r>
    </w:p>
    <w:p>
      <w:pPr>
        <w:pStyle w:val="3"/>
        <w:spacing w:before="190" w:line="350" w:lineRule="auto"/>
        <w:ind w:left="160" w:right="417" w:firstLine="645"/>
        <w:jc w:val="both"/>
        <w:rPr>
          <w:sz w:val="28"/>
          <w:szCs w:val="28"/>
        </w:rPr>
      </w:pPr>
      <w:r>
        <w:rPr>
          <w:rFonts w:eastAsia="宋体"/>
          <w:spacing w:val="-2"/>
          <w:sz w:val="28"/>
          <w:szCs w:val="28"/>
        </w:rPr>
        <w:t>為進一步防範業務風險，加強業務管理，更好地發揮福</w:t>
      </w:r>
      <w:r>
        <w:rPr>
          <w:rFonts w:eastAsia="宋体"/>
          <w:spacing w:val="-4"/>
          <w:w w:val="95"/>
          <w:sz w:val="28"/>
          <w:szCs w:val="28"/>
        </w:rPr>
        <w:t xml:space="preserve">費廷業務在優化金融資源配置、降低企業融資成本、服務實 </w:t>
      </w:r>
      <w:r>
        <w:rPr>
          <w:rFonts w:eastAsia="宋体"/>
          <w:spacing w:val="-5"/>
          <w:sz w:val="28"/>
          <w:szCs w:val="28"/>
        </w:rPr>
        <w:t>體經濟發展等方面的優勢，結合我國當前貿易金融業務的發</w:t>
      </w:r>
      <w:r>
        <w:rPr>
          <w:rFonts w:eastAsia="宋体"/>
          <w:spacing w:val="-6"/>
          <w:sz w:val="28"/>
          <w:szCs w:val="28"/>
        </w:rPr>
        <w:t>展態勢及各商業銀行的實際訴求，經中國銀行業協會貿易金</w:t>
      </w:r>
      <w:r>
        <w:rPr>
          <w:rFonts w:eastAsia="宋体"/>
          <w:spacing w:val="-7"/>
          <w:sz w:val="28"/>
          <w:szCs w:val="28"/>
        </w:rPr>
        <w:t>融專業委員會第三屆常務委員會第四次會議審議表決，形成</w:t>
      </w:r>
    </w:p>
    <w:p>
      <w:pPr>
        <w:pStyle w:val="3"/>
        <w:spacing w:before="7"/>
        <w:ind w:left="160"/>
        <w:rPr>
          <w:sz w:val="28"/>
          <w:szCs w:val="28"/>
        </w:rPr>
      </w:pPr>
      <w:r>
        <w:rPr>
          <w:rFonts w:eastAsia="宋体"/>
          <w:sz w:val="28"/>
          <w:szCs w:val="28"/>
        </w:rPr>
        <w:t>《中國銀行業協會商業銀行福費廷業務指引》。</w:t>
      </w:r>
    </w:p>
    <w:p>
      <w:pPr>
        <w:pStyle w:val="3"/>
        <w:spacing w:before="190" w:line="350" w:lineRule="auto"/>
        <w:ind w:left="160" w:right="375" w:firstLine="640"/>
        <w:rPr>
          <w:sz w:val="28"/>
          <w:szCs w:val="28"/>
        </w:rPr>
      </w:pPr>
      <w:r>
        <w:rPr>
          <w:rFonts w:eastAsia="宋体"/>
          <w:sz w:val="28"/>
          <w:szCs w:val="28"/>
        </w:rPr>
        <w:t>現將《中國銀行業協會商業銀行福費廷業務指引》印發給你們，請認真學習，並根據實際業務參照執行。</w:t>
      </w:r>
    </w:p>
    <w:p>
      <w:pPr>
        <w:spacing w:after="0" w:line="350" w:lineRule="auto"/>
        <w:rPr>
          <w:sz w:val="28"/>
          <w:szCs w:val="28"/>
        </w:rPr>
        <w:sectPr>
          <w:footerReference r:id="rId5" w:type="default"/>
          <w:footerReference r:id="rId6" w:type="even"/>
          <w:type w:val="continuous"/>
          <w:pgSz w:w="11910" w:h="16840"/>
          <w:pgMar w:top="1580" w:right="1380" w:bottom="1220" w:left="1640" w:header="720" w:footer="1038" w:gutter="0"/>
          <w:pgNumType w:start="1"/>
          <w:cols w:space="720" w:num="1"/>
        </w:sectPr>
      </w:pPr>
    </w:p>
    <w:p>
      <w:pPr>
        <w:pStyle w:val="3"/>
        <w:rPr>
          <w:sz w:val="28"/>
          <w:szCs w:val="28"/>
        </w:rPr>
      </w:pPr>
    </w:p>
    <w:p>
      <w:pPr>
        <w:pStyle w:val="3"/>
        <w:spacing w:before="10"/>
        <w:rPr>
          <w:sz w:val="28"/>
          <w:szCs w:val="28"/>
        </w:rPr>
      </w:pPr>
    </w:p>
    <w:p>
      <w:pPr>
        <w:pStyle w:val="3"/>
        <w:spacing w:before="55"/>
        <w:ind w:left="889"/>
        <w:rPr>
          <w:sz w:val="28"/>
          <w:szCs w:val="28"/>
        </w:rPr>
      </w:pPr>
      <w:r>
        <w:rPr>
          <w:rFonts w:eastAsia="宋体"/>
          <w:sz w:val="28"/>
          <w:szCs w:val="28"/>
        </w:rPr>
        <w:t>附件： 《中國銀行業協會商業銀行福費廷業務指引》</w:t>
      </w:r>
    </w:p>
    <w:p>
      <w:pPr>
        <w:pStyle w:val="3"/>
        <w:rPr>
          <w:sz w:val="28"/>
          <w:szCs w:val="28"/>
        </w:rPr>
      </w:pPr>
    </w:p>
    <w:p>
      <w:pPr>
        <w:pStyle w:val="3"/>
        <w:rPr>
          <w:sz w:val="28"/>
          <w:szCs w:val="28"/>
        </w:rPr>
      </w:pPr>
    </w:p>
    <w:p>
      <w:pPr>
        <w:pStyle w:val="3"/>
        <w:spacing w:before="5"/>
        <w:rPr>
          <w:sz w:val="28"/>
          <w:szCs w:val="28"/>
        </w:rPr>
      </w:pPr>
      <w:r>
        <w:rPr>
          <w:sz w:val="28"/>
          <w:szCs w:val="28"/>
        </w:rPr>
        <w:pict>
          <v:group id="_x0000_s1033" o:spid="_x0000_s1033" o:spt="203" style="position:absolute;left:0pt;margin-left:364.55pt;margin-top:13.05pt;height:130.45pt;width:130.45pt;mso-position-horizontal-relative:page;mso-wrap-distance-bottom:0pt;mso-wrap-distance-top:0pt;z-index:-251653120;mso-width-relative:page;mso-height-relative:page;" coordorigin="7291,262" coordsize="2609,2609">
            <o:lock v:ext="edit"/>
            <v:shape id="_x0000_s1034" o:spid="_x0000_s1034" o:spt="75" type="#_x0000_t75" style="position:absolute;left:7291;top:261;height:2609;width:2609;" filled="f" stroked="f" coordsize="21600,21600">
              <v:path/>
              <v:fill on="f" focussize="0,0"/>
              <v:stroke on="f"/>
              <v:imagedata r:id="rId11" o:title=""/>
              <o:lock v:ext="edit" aspectratio="t"/>
            </v:shape>
            <v:shape id="_x0000_s1035" o:spid="_x0000_s1035" o:spt="202" type="#_x0000_t202" style="position:absolute;left:7291;top:261;height:2609;width:2609;" filled="f" stroked="f" coordsize="21600,21600">
              <v:path/>
              <v:fill on="f" focussize="0,0"/>
              <v:stroke on="f" joinstyle="miter"/>
              <v:imagedata o:title=""/>
              <o:lock v:ext="edit"/>
              <v:textbox inset="0mm,0mm,0mm,0mm">
                <w:txbxContent>
                  <w:p>
                    <w:pPr>
                      <w:spacing w:before="0" w:line="240" w:lineRule="auto"/>
                      <w:rPr>
                        <w:sz w:val="32"/>
                      </w:rPr>
                    </w:pPr>
                  </w:p>
                  <w:p>
                    <w:pPr>
                      <w:spacing w:before="0" w:line="240" w:lineRule="auto"/>
                      <w:rPr>
                        <w:sz w:val="32"/>
                      </w:rPr>
                    </w:pPr>
                  </w:p>
                  <w:p>
                    <w:pPr>
                      <w:spacing w:before="10" w:line="240" w:lineRule="auto"/>
                      <w:rPr>
                        <w:sz w:val="30"/>
                      </w:rPr>
                    </w:pPr>
                  </w:p>
                  <w:p>
                    <w:pPr>
                      <w:spacing w:before="0"/>
                      <w:ind w:left="107" w:right="0" w:firstLine="0"/>
                      <w:jc w:val="left"/>
                      <w:rPr>
                        <w:sz w:val="32"/>
                      </w:rPr>
                    </w:pPr>
                    <w:r>
                      <w:rPr>
                        <w:sz w:val="32"/>
                      </w:rPr>
                      <w:t>2019</w:t>
                    </w:r>
                    <w:r>
                      <w:rPr>
                        <w:spacing w:val="-54"/>
                        <w:sz w:val="32"/>
                      </w:rPr>
                      <w:t xml:space="preserve"> 年 </w:t>
                    </w:r>
                    <w:r>
                      <w:rPr>
                        <w:sz w:val="32"/>
                      </w:rPr>
                      <w:t>7</w:t>
                    </w:r>
                    <w:r>
                      <w:rPr>
                        <w:spacing w:val="-54"/>
                        <w:sz w:val="32"/>
                      </w:rPr>
                      <w:t xml:space="preserve"> 月 </w:t>
                    </w:r>
                    <w:r>
                      <w:rPr>
                        <w:sz w:val="32"/>
                      </w:rPr>
                      <w:t>4</w:t>
                    </w:r>
                    <w:r>
                      <w:rPr>
                        <w:spacing w:val="-41"/>
                        <w:sz w:val="32"/>
                      </w:rPr>
                      <w:t xml:space="preserve"> 日</w:t>
                    </w:r>
                  </w:p>
                </w:txbxContent>
              </v:textbox>
            </v:shape>
            <w10:wrap type="topAndBottom"/>
          </v:group>
        </w:pict>
      </w:r>
    </w:p>
    <w:p>
      <w:pPr>
        <w:spacing w:after="0"/>
        <w:rPr>
          <w:sz w:val="28"/>
          <w:szCs w:val="28"/>
        </w:rPr>
        <w:sectPr>
          <w:pgSz w:w="11910" w:h="16840"/>
          <w:pgMar w:top="1580" w:right="1380" w:bottom="1220" w:left="1640" w:header="0" w:footer="1038" w:gutter="0"/>
          <w:cols w:space="720" w:num="1"/>
        </w:sectPr>
      </w:pPr>
    </w:p>
    <w:p>
      <w:pPr>
        <w:pStyle w:val="3"/>
        <w:spacing w:before="43"/>
        <w:ind w:left="142" w:right="8067"/>
        <w:jc w:val="center"/>
        <w:rPr>
          <w:sz w:val="28"/>
          <w:szCs w:val="28"/>
        </w:rPr>
      </w:pPr>
      <w:r>
        <w:rPr>
          <w:rFonts w:eastAsia="宋体"/>
          <w:sz w:val="28"/>
          <w:szCs w:val="28"/>
        </w:rPr>
        <w:t>附件</w:t>
      </w:r>
    </w:p>
    <w:p>
      <w:pPr>
        <w:pStyle w:val="2"/>
        <w:spacing w:before="150"/>
        <w:rPr>
          <w:sz w:val="28"/>
          <w:szCs w:val="28"/>
        </w:rPr>
      </w:pPr>
      <w:r>
        <w:rPr>
          <w:rFonts w:eastAsia="宋体"/>
          <w:sz w:val="28"/>
          <w:szCs w:val="28"/>
        </w:rPr>
        <w:t>中國銀行業協會商業銀行福費廷業務指引</w:t>
      </w:r>
    </w:p>
    <w:p>
      <w:pPr>
        <w:pStyle w:val="3"/>
        <w:rPr>
          <w:sz w:val="28"/>
          <w:szCs w:val="28"/>
        </w:rPr>
      </w:pPr>
    </w:p>
    <w:p>
      <w:pPr>
        <w:pStyle w:val="3"/>
        <w:rPr>
          <w:sz w:val="28"/>
          <w:szCs w:val="28"/>
        </w:rPr>
      </w:pPr>
    </w:p>
    <w:p>
      <w:pPr>
        <w:pStyle w:val="3"/>
        <w:spacing w:before="7"/>
        <w:rPr>
          <w:sz w:val="28"/>
          <w:szCs w:val="28"/>
        </w:rPr>
      </w:pPr>
    </w:p>
    <w:p>
      <w:pPr>
        <w:pStyle w:val="3"/>
        <w:spacing w:before="54" w:line="350" w:lineRule="auto"/>
        <w:ind w:left="160" w:right="420" w:firstLine="640"/>
        <w:rPr>
          <w:sz w:val="28"/>
          <w:szCs w:val="28"/>
        </w:rPr>
      </w:pPr>
      <w:r>
        <w:rPr>
          <w:rFonts w:eastAsia="宋体"/>
          <w:sz w:val="28"/>
          <w:szCs w:val="28"/>
        </w:rPr>
        <w:t>第一條 為規範和促進商業銀行福費廷業務一級、二級</w:t>
      </w:r>
      <w:r>
        <w:rPr>
          <w:rFonts w:eastAsia="宋体"/>
          <w:spacing w:val="-3"/>
          <w:sz w:val="28"/>
          <w:szCs w:val="28"/>
        </w:rPr>
        <w:t>市場業務發展，加強相關業務跨行合作、防範業務風險，根</w:t>
      </w:r>
      <w:r>
        <w:rPr>
          <w:rFonts w:eastAsia="宋体"/>
          <w:spacing w:val="-3"/>
          <w:w w:val="95"/>
          <w:sz w:val="28"/>
          <w:szCs w:val="28"/>
        </w:rPr>
        <w:t xml:space="preserve">據《中華人民共和國商業銀行法》《中華人民共和國銀行業 </w:t>
      </w:r>
      <w:r>
        <w:rPr>
          <w:rFonts w:eastAsia="宋体"/>
          <w:spacing w:val="-5"/>
          <w:w w:val="95"/>
          <w:sz w:val="28"/>
          <w:szCs w:val="28"/>
        </w:rPr>
        <w:t>監督管理法》《國內信用證結算辦法》</w:t>
      </w:r>
      <w:r>
        <w:rPr>
          <w:rFonts w:eastAsia="宋体"/>
          <w:w w:val="95"/>
          <w:sz w:val="28"/>
          <w:szCs w:val="28"/>
        </w:rPr>
        <w:t>（</w:t>
      </w:r>
      <w:r>
        <w:rPr>
          <w:rFonts w:eastAsia="宋体"/>
          <w:spacing w:val="-1"/>
          <w:w w:val="95"/>
          <w:sz w:val="28"/>
          <w:szCs w:val="28"/>
        </w:rPr>
        <w:t xml:space="preserve">中國人民銀行、中 </w:t>
      </w:r>
      <w:r>
        <w:rPr>
          <w:rFonts w:eastAsia="宋体"/>
          <w:spacing w:val="-1"/>
          <w:sz w:val="28"/>
          <w:szCs w:val="28"/>
        </w:rPr>
        <w:t>國銀行業監督管理委員會公告〔2016</w:t>
      </w:r>
      <w:r>
        <w:rPr>
          <w:rFonts w:eastAsia="宋体"/>
          <w:spacing w:val="-29"/>
          <w:sz w:val="28"/>
          <w:szCs w:val="28"/>
        </w:rPr>
        <w:t xml:space="preserve">〕第 </w:t>
      </w:r>
      <w:r>
        <w:rPr>
          <w:rFonts w:eastAsia="宋体"/>
          <w:sz w:val="28"/>
          <w:szCs w:val="28"/>
        </w:rPr>
        <w:t>10</w:t>
      </w:r>
      <w:r>
        <w:rPr>
          <w:rFonts w:eastAsia="宋体"/>
          <w:spacing w:val="-41"/>
          <w:sz w:val="28"/>
          <w:szCs w:val="28"/>
        </w:rPr>
        <w:t xml:space="preserve"> 號</w:t>
      </w:r>
      <w:r>
        <w:rPr>
          <w:rFonts w:eastAsia="宋体"/>
          <w:sz w:val="28"/>
          <w:szCs w:val="28"/>
        </w:rPr>
        <w:t>）以及《銀</w:t>
      </w:r>
      <w:r>
        <w:rPr>
          <w:rFonts w:eastAsia="宋体"/>
          <w:spacing w:val="-3"/>
          <w:sz w:val="28"/>
          <w:szCs w:val="28"/>
        </w:rPr>
        <w:t>行業協會工作指引》《中國銀行業協會章程》《跨行國內信</w:t>
      </w:r>
      <w:r>
        <w:rPr>
          <w:rFonts w:eastAsia="宋体"/>
          <w:spacing w:val="-1"/>
          <w:w w:val="95"/>
          <w:sz w:val="28"/>
          <w:szCs w:val="28"/>
        </w:rPr>
        <w:t>用證產品指引</w:t>
      </w:r>
      <w:r>
        <w:rPr>
          <w:rFonts w:eastAsia="宋体"/>
          <w:w w:val="95"/>
          <w:sz w:val="28"/>
          <w:szCs w:val="28"/>
        </w:rPr>
        <w:t>（試行）</w:t>
      </w:r>
      <w:r>
        <w:rPr>
          <w:rFonts w:eastAsia="宋体"/>
          <w:spacing w:val="-3"/>
          <w:w w:val="95"/>
          <w:sz w:val="28"/>
          <w:szCs w:val="28"/>
        </w:rPr>
        <w:t>》《福費廷統一規則》</w:t>
      </w:r>
      <w:r>
        <w:rPr>
          <w:rFonts w:eastAsia="宋体"/>
          <w:w w:val="95"/>
          <w:sz w:val="28"/>
          <w:szCs w:val="28"/>
        </w:rPr>
        <w:t xml:space="preserve">（URF800）等 </w:t>
      </w:r>
      <w:r>
        <w:rPr>
          <w:rFonts w:eastAsia="宋体"/>
          <w:sz w:val="28"/>
          <w:szCs w:val="28"/>
        </w:rPr>
        <w:t>有關規定，制定本指引。</w:t>
      </w:r>
    </w:p>
    <w:p>
      <w:pPr>
        <w:pStyle w:val="3"/>
        <w:spacing w:before="11" w:line="350" w:lineRule="auto"/>
        <w:ind w:left="160" w:right="417" w:firstLine="600"/>
        <w:rPr>
          <w:sz w:val="28"/>
          <w:szCs w:val="28"/>
        </w:rPr>
      </w:pPr>
      <w:r>
        <w:rPr>
          <w:rFonts w:eastAsia="宋体"/>
          <w:sz w:val="28"/>
          <w:szCs w:val="28"/>
        </w:rPr>
        <w:t>第二條 福費廷業務包括一級市場、二級市場買入及轉賣業務。買入業務是指某銀行無追索權地買斷開證行/保兌</w:t>
      </w:r>
      <w:r>
        <w:rPr>
          <w:rFonts w:eastAsia="宋体"/>
          <w:spacing w:val="-1"/>
          <w:sz w:val="28"/>
          <w:szCs w:val="28"/>
        </w:rPr>
        <w:t>行確認到期付款且未到期債權的業務；轉賣業務是指某銀行將已買斷的未到期債權轉讓給其他包買商的業務。</w:t>
      </w:r>
    </w:p>
    <w:p>
      <w:pPr>
        <w:pStyle w:val="3"/>
        <w:spacing w:before="6" w:line="350" w:lineRule="auto"/>
        <w:ind w:left="160" w:right="420" w:firstLine="600"/>
        <w:jc w:val="both"/>
        <w:rPr>
          <w:sz w:val="28"/>
          <w:szCs w:val="28"/>
        </w:rPr>
      </w:pPr>
      <w:r>
        <w:rPr>
          <w:rFonts w:eastAsia="宋体"/>
          <w:spacing w:val="18"/>
          <w:sz w:val="28"/>
          <w:szCs w:val="28"/>
        </w:rPr>
        <w:t>第三條 銀行需建立健全業務管理規章制度， 運用</w:t>
      </w:r>
      <w:r>
        <w:rPr>
          <w:rFonts w:eastAsia="宋体"/>
          <w:sz w:val="28"/>
          <w:szCs w:val="28"/>
        </w:rPr>
        <w:t>SWIFT</w:t>
      </w:r>
      <w:r>
        <w:rPr>
          <w:rFonts w:eastAsia="宋体"/>
          <w:spacing w:val="-7"/>
          <w:sz w:val="28"/>
          <w:szCs w:val="28"/>
        </w:rPr>
        <w:t xml:space="preserve"> 或其他各方認可的管道傳遞資訊，通過合作協議明確雙方的權利和義務，合法合規開展相關業務合作。</w:t>
      </w:r>
    </w:p>
    <w:p>
      <w:pPr>
        <w:pStyle w:val="3"/>
        <w:spacing w:before="4" w:line="350" w:lineRule="auto"/>
        <w:ind w:left="160" w:right="417" w:firstLine="640"/>
        <w:jc w:val="both"/>
        <w:rPr>
          <w:sz w:val="28"/>
          <w:szCs w:val="28"/>
        </w:rPr>
      </w:pPr>
      <w:r>
        <w:rPr>
          <w:rFonts w:eastAsia="宋体"/>
          <w:spacing w:val="9"/>
          <w:sz w:val="28"/>
          <w:szCs w:val="28"/>
        </w:rPr>
        <w:t>第四條 福費廷是基於信用證等基礎結算工具的貿易</w:t>
      </w:r>
      <w:r>
        <w:rPr>
          <w:rFonts w:eastAsia="宋体"/>
          <w:spacing w:val="-1"/>
          <w:w w:val="95"/>
          <w:sz w:val="28"/>
          <w:szCs w:val="28"/>
        </w:rPr>
        <w:t xml:space="preserve">金融業務，具有貿易結算和融資的特點，是銀行信用介入貿 </w:t>
      </w:r>
      <w:r>
        <w:rPr>
          <w:rFonts w:eastAsia="宋体"/>
          <w:spacing w:val="-3"/>
          <w:w w:val="95"/>
          <w:sz w:val="28"/>
          <w:szCs w:val="28"/>
        </w:rPr>
        <w:t xml:space="preserve">易融資鏈條的間接融資，屬於貿易金融產品，應按照貿易金 </w:t>
      </w:r>
      <w:r>
        <w:rPr>
          <w:rFonts w:eastAsia="宋体"/>
          <w:spacing w:val="-4"/>
          <w:sz w:val="28"/>
          <w:szCs w:val="28"/>
        </w:rPr>
        <w:t>融慣例進行審查審批和單證處理，由貿易金融業務管理部門進行歸口管理。</w:t>
      </w:r>
    </w:p>
    <w:p>
      <w:pPr>
        <w:spacing w:after="0" w:line="350" w:lineRule="auto"/>
        <w:jc w:val="both"/>
        <w:rPr>
          <w:sz w:val="28"/>
          <w:szCs w:val="28"/>
        </w:rPr>
        <w:sectPr>
          <w:pgSz w:w="11910" w:h="16840"/>
          <w:pgMar w:top="1540" w:right="1380" w:bottom="1220" w:left="1640" w:header="0" w:footer="1038" w:gutter="0"/>
          <w:cols w:space="720" w:num="1"/>
        </w:sectPr>
      </w:pPr>
    </w:p>
    <w:p>
      <w:pPr>
        <w:pStyle w:val="3"/>
        <w:spacing w:before="43" w:line="350" w:lineRule="auto"/>
        <w:ind w:left="160" w:right="101" w:firstLine="640"/>
        <w:rPr>
          <w:sz w:val="28"/>
          <w:szCs w:val="28"/>
        </w:rPr>
      </w:pPr>
      <w:r>
        <w:rPr>
          <w:rFonts w:eastAsia="宋体"/>
          <w:spacing w:val="11"/>
          <w:sz w:val="28"/>
          <w:szCs w:val="28"/>
        </w:rPr>
        <w:t>第五條  原則上從業人員應具備國際結算或貿易融資</w:t>
      </w:r>
      <w:r>
        <w:rPr>
          <w:rFonts w:eastAsia="宋体"/>
          <w:spacing w:val="-1"/>
          <w:sz w:val="28"/>
          <w:szCs w:val="28"/>
        </w:rPr>
        <w:t xml:space="preserve">資歷，熟悉貿易金融的相關產品和服務，具有國際結算單證 </w:t>
      </w:r>
      <w:r>
        <w:rPr>
          <w:rFonts w:eastAsia="宋体"/>
          <w:spacing w:val="-3"/>
          <w:w w:val="95"/>
          <w:sz w:val="28"/>
          <w:szCs w:val="28"/>
        </w:rPr>
        <w:t xml:space="preserve">處理經驗和上崗資格，專業崗位人員應具備一定的英語能力， </w:t>
      </w:r>
      <w:r>
        <w:rPr>
          <w:rFonts w:eastAsia="宋体"/>
          <w:spacing w:val="-29"/>
          <w:sz w:val="28"/>
          <w:szCs w:val="28"/>
        </w:rPr>
        <w:t xml:space="preserve">持有 </w:t>
      </w:r>
      <w:r>
        <w:rPr>
          <w:rFonts w:eastAsia="宋体"/>
          <w:sz w:val="28"/>
          <w:szCs w:val="28"/>
        </w:rPr>
        <w:t>CDCS</w:t>
      </w:r>
      <w:r>
        <w:rPr>
          <w:rFonts w:eastAsia="宋体"/>
          <w:spacing w:val="-53"/>
          <w:sz w:val="28"/>
          <w:szCs w:val="28"/>
        </w:rPr>
        <w:t xml:space="preserve"> 或 </w:t>
      </w:r>
      <w:r>
        <w:rPr>
          <w:rFonts w:eastAsia="宋体"/>
          <w:sz w:val="28"/>
          <w:szCs w:val="28"/>
        </w:rPr>
        <w:t>CITF</w:t>
      </w:r>
      <w:r>
        <w:rPr>
          <w:rFonts w:eastAsia="宋体"/>
          <w:spacing w:val="-10"/>
          <w:sz w:val="28"/>
          <w:szCs w:val="28"/>
        </w:rPr>
        <w:t xml:space="preserve"> 等貿易金融類證書。</w:t>
      </w:r>
    </w:p>
    <w:p>
      <w:pPr>
        <w:pStyle w:val="3"/>
        <w:spacing w:before="5" w:line="350" w:lineRule="auto"/>
        <w:ind w:left="160" w:right="405" w:firstLine="640"/>
        <w:rPr>
          <w:sz w:val="28"/>
          <w:szCs w:val="28"/>
        </w:rPr>
      </w:pPr>
      <w:r>
        <w:rPr>
          <w:rFonts w:eastAsia="宋体"/>
          <w:sz w:val="28"/>
          <w:szCs w:val="28"/>
        </w:rPr>
        <w:t>第六條 加強貿易背景真實性核實，一級市場福費廷買入行掌握受益人的第一手資料，負責進行“瞭解你的客戶” 和“瞭解你的業務”等盡職調查、審查受益人資信、核實基礎交易貿易背景的真實性。二級市場買入行對受讓債權檔和貿易背景資料進行必要的審核，並關注開證行/保兌行的信用風險。</w:t>
      </w:r>
    </w:p>
    <w:p>
      <w:pPr>
        <w:pStyle w:val="3"/>
        <w:spacing w:before="9" w:line="350" w:lineRule="auto"/>
        <w:ind w:left="160" w:right="420" w:firstLine="600"/>
        <w:jc w:val="both"/>
        <w:rPr>
          <w:sz w:val="28"/>
          <w:szCs w:val="28"/>
        </w:rPr>
      </w:pPr>
      <w:r>
        <w:rPr>
          <w:rFonts w:eastAsia="宋体"/>
          <w:sz w:val="28"/>
          <w:szCs w:val="28"/>
        </w:rPr>
        <w:t>第七條 單證審核作為業務審批的重要依據，銀行可以</w:t>
      </w:r>
      <w:r>
        <w:rPr>
          <w:rFonts w:eastAsia="宋体"/>
          <w:spacing w:val="-1"/>
          <w:sz w:val="28"/>
          <w:szCs w:val="28"/>
        </w:rPr>
        <w:t>按照本行貿易金融單證處理模式集中處理或分級處理，業務</w:t>
      </w:r>
      <w:r>
        <w:rPr>
          <w:rFonts w:eastAsia="宋体"/>
          <w:spacing w:val="-12"/>
          <w:sz w:val="28"/>
          <w:szCs w:val="28"/>
        </w:rPr>
        <w:t xml:space="preserve">涉及的信用證、往來 </w:t>
      </w:r>
      <w:r>
        <w:rPr>
          <w:rFonts w:eastAsia="宋体"/>
          <w:sz w:val="28"/>
          <w:szCs w:val="28"/>
        </w:rPr>
        <w:t>SWIFT</w:t>
      </w:r>
      <w:r>
        <w:rPr>
          <w:rFonts w:eastAsia="宋体"/>
          <w:spacing w:val="-10"/>
          <w:sz w:val="28"/>
          <w:szCs w:val="28"/>
        </w:rPr>
        <w:t xml:space="preserve"> 電文或其他各方認可的管道傳遞資訊及紙質單據不應互相衝突。</w:t>
      </w:r>
    </w:p>
    <w:p>
      <w:pPr>
        <w:pStyle w:val="3"/>
        <w:spacing w:before="5" w:line="350" w:lineRule="auto"/>
        <w:ind w:left="160" w:right="420" w:firstLine="640"/>
        <w:jc w:val="both"/>
        <w:rPr>
          <w:sz w:val="28"/>
          <w:szCs w:val="28"/>
        </w:rPr>
      </w:pPr>
      <w:r>
        <w:rPr>
          <w:rFonts w:eastAsia="宋体"/>
          <w:spacing w:val="-1"/>
          <w:sz w:val="28"/>
          <w:szCs w:val="28"/>
        </w:rPr>
        <w:t>第八條 一級市場買入行對業務單據進行表面審核，認</w:t>
      </w:r>
      <w:r>
        <w:rPr>
          <w:rFonts w:eastAsia="宋体"/>
          <w:spacing w:val="-4"/>
          <w:sz w:val="28"/>
          <w:szCs w:val="28"/>
        </w:rPr>
        <w:t>真審核信用證規定的所有單據，包括對單據之內、單據之間</w:t>
      </w:r>
      <w:r>
        <w:rPr>
          <w:rFonts w:eastAsia="宋体"/>
          <w:spacing w:val="-3"/>
          <w:sz w:val="28"/>
          <w:szCs w:val="28"/>
        </w:rPr>
        <w:t>相互一致性的審核。在二級市場交易時，轉賣銀行應根據受</w:t>
      </w:r>
      <w:r>
        <w:rPr>
          <w:rFonts w:eastAsia="宋体"/>
          <w:spacing w:val="-1"/>
          <w:sz w:val="28"/>
          <w:szCs w:val="28"/>
        </w:rPr>
        <w:t>讓行的要求提供與原件一致的必要單據，做到單據傳遞的完</w:t>
      </w:r>
      <w:r>
        <w:rPr>
          <w:rFonts w:eastAsia="宋体"/>
          <w:spacing w:val="-3"/>
          <w:w w:val="95"/>
          <w:sz w:val="28"/>
          <w:szCs w:val="28"/>
        </w:rPr>
        <w:t xml:space="preserve">整、準確、及時，不存在偽造、變造情形，二級市場買入行 </w:t>
      </w:r>
      <w:r>
        <w:rPr>
          <w:rFonts w:eastAsia="宋体"/>
          <w:spacing w:val="-3"/>
          <w:sz w:val="28"/>
          <w:szCs w:val="28"/>
        </w:rPr>
        <w:t>可依據轉賣銀行提供的材料進行審核。</w:t>
      </w:r>
    </w:p>
    <w:p>
      <w:pPr>
        <w:pStyle w:val="3"/>
        <w:spacing w:before="9" w:line="350" w:lineRule="auto"/>
        <w:ind w:left="160" w:right="420" w:firstLine="640"/>
        <w:jc w:val="both"/>
        <w:rPr>
          <w:sz w:val="28"/>
          <w:szCs w:val="28"/>
        </w:rPr>
      </w:pPr>
      <w:r>
        <w:rPr>
          <w:rFonts w:eastAsia="宋体"/>
          <w:spacing w:val="9"/>
          <w:sz w:val="28"/>
          <w:szCs w:val="28"/>
        </w:rPr>
        <w:t>第九條 一級市場買入行買斷並持有的未到期債權真</w:t>
      </w:r>
      <w:r>
        <w:rPr>
          <w:rFonts w:eastAsia="宋体"/>
          <w:spacing w:val="-2"/>
          <w:sz w:val="28"/>
          <w:szCs w:val="28"/>
        </w:rPr>
        <w:t>實有效、不可抗辯並且可自由轉讓，二級市場福費廷債權轉</w:t>
      </w:r>
    </w:p>
    <w:p>
      <w:pPr>
        <w:spacing w:after="0" w:line="350" w:lineRule="auto"/>
        <w:jc w:val="both"/>
        <w:rPr>
          <w:sz w:val="28"/>
          <w:szCs w:val="28"/>
        </w:rPr>
        <w:sectPr>
          <w:pgSz w:w="11910" w:h="16840"/>
          <w:pgMar w:top="1540" w:right="1380" w:bottom="1220" w:left="1640" w:header="0" w:footer="1038" w:gutter="0"/>
          <w:cols w:space="720" w:num="1"/>
        </w:sectPr>
      </w:pPr>
    </w:p>
    <w:p>
      <w:pPr>
        <w:pStyle w:val="3"/>
        <w:spacing w:before="43" w:line="350" w:lineRule="auto"/>
        <w:ind w:left="160" w:right="98"/>
        <w:jc w:val="both"/>
        <w:rPr>
          <w:sz w:val="28"/>
          <w:szCs w:val="28"/>
        </w:rPr>
      </w:pPr>
      <w:r>
        <w:rPr>
          <w:rFonts w:eastAsia="宋体"/>
          <w:spacing w:val="-5"/>
          <w:sz w:val="28"/>
          <w:szCs w:val="28"/>
        </w:rPr>
        <w:t xml:space="preserve">讓均基於雙方的真實意思表示，通過 </w:t>
      </w:r>
      <w:r>
        <w:rPr>
          <w:rFonts w:eastAsia="宋体"/>
          <w:sz w:val="28"/>
          <w:szCs w:val="28"/>
        </w:rPr>
        <w:t>SWIFT</w:t>
      </w:r>
      <w:r>
        <w:rPr>
          <w:rFonts w:eastAsia="宋体"/>
          <w:spacing w:val="-11"/>
          <w:sz w:val="28"/>
          <w:szCs w:val="28"/>
        </w:rPr>
        <w:t xml:space="preserve"> 電文或其他合作</w:t>
      </w:r>
      <w:r>
        <w:rPr>
          <w:rFonts w:eastAsia="宋体"/>
          <w:w w:val="95"/>
          <w:sz w:val="28"/>
          <w:szCs w:val="28"/>
        </w:rPr>
        <w:t>雙</w:t>
      </w:r>
      <w:r>
        <w:rPr>
          <w:rFonts w:eastAsia="宋体"/>
          <w:spacing w:val="-1"/>
          <w:w w:val="95"/>
          <w:sz w:val="28"/>
          <w:szCs w:val="28"/>
        </w:rPr>
        <w:t>方認可的管道進行債權讓渡，確保債權和風險的真實轉移。</w:t>
      </w:r>
    </w:p>
    <w:p>
      <w:pPr>
        <w:pStyle w:val="3"/>
        <w:spacing w:before="3" w:line="350" w:lineRule="auto"/>
        <w:ind w:left="160" w:right="420" w:firstLine="640"/>
        <w:jc w:val="both"/>
        <w:rPr>
          <w:sz w:val="28"/>
          <w:szCs w:val="28"/>
        </w:rPr>
      </w:pPr>
      <w:r>
        <w:rPr>
          <w:rFonts w:eastAsia="宋体"/>
          <w:spacing w:val="9"/>
          <w:sz w:val="28"/>
          <w:szCs w:val="28"/>
        </w:rPr>
        <w:t>第十條 福費廷會計核算應符合會計準則和監管的相</w:t>
      </w:r>
      <w:r>
        <w:rPr>
          <w:rFonts w:eastAsia="宋体"/>
          <w:spacing w:val="-2"/>
          <w:sz w:val="28"/>
          <w:szCs w:val="28"/>
        </w:rPr>
        <w:t>關要求，買入行按照信貸類貿易融資表內會計科目核算，融</w:t>
      </w:r>
      <w:r>
        <w:rPr>
          <w:rFonts w:eastAsia="宋体"/>
          <w:sz w:val="28"/>
          <w:szCs w:val="28"/>
        </w:rPr>
        <w:t>資餘額納入信貸類廣義信貸資產考核口徑。</w:t>
      </w:r>
    </w:p>
    <w:p>
      <w:pPr>
        <w:pStyle w:val="3"/>
        <w:spacing w:before="4" w:line="350" w:lineRule="auto"/>
        <w:ind w:left="160" w:right="405" w:firstLine="640"/>
        <w:jc w:val="both"/>
        <w:rPr>
          <w:sz w:val="28"/>
          <w:szCs w:val="28"/>
        </w:rPr>
      </w:pPr>
      <w:r>
        <w:rPr>
          <w:rFonts w:eastAsia="宋体"/>
          <w:spacing w:val="10"/>
          <w:sz w:val="28"/>
          <w:szCs w:val="28"/>
        </w:rPr>
        <w:t>第十一條 銀行開展一級及二級市場福費廷業務以實</w:t>
      </w:r>
      <w:r>
        <w:rPr>
          <w:rFonts w:eastAsia="宋体"/>
          <w:spacing w:val="11"/>
          <w:w w:val="95"/>
          <w:sz w:val="28"/>
          <w:szCs w:val="28"/>
        </w:rPr>
        <w:t xml:space="preserve">際持有期間取得的利息收入作為貸款服務銷售額計算繳納 </w:t>
      </w:r>
      <w:r>
        <w:rPr>
          <w:rFonts w:eastAsia="宋体"/>
          <w:spacing w:val="11"/>
          <w:sz w:val="28"/>
          <w:szCs w:val="28"/>
        </w:rPr>
        <w:t>增值稅，如收取手續費，應就手續費收入全額繳納增值稅。</w:t>
      </w:r>
      <w:r>
        <w:rPr>
          <w:rFonts w:eastAsia="宋体"/>
          <w:spacing w:val="1"/>
          <w:sz w:val="28"/>
          <w:szCs w:val="28"/>
        </w:rPr>
        <w:t>開展福費廷業務需要就利息開具發票的，由一級市場買入行</w:t>
      </w:r>
      <w:r>
        <w:rPr>
          <w:rFonts w:eastAsia="宋体"/>
          <w:sz w:val="28"/>
          <w:szCs w:val="28"/>
        </w:rPr>
        <w:t>按照利息收入全額向客戶開具增值稅普通發票，二級市場買入行按照利息收入全額向賣出行開具增值稅普通發票。</w:t>
      </w:r>
    </w:p>
    <w:p>
      <w:pPr>
        <w:pStyle w:val="3"/>
        <w:spacing w:before="8" w:line="350" w:lineRule="auto"/>
        <w:ind w:left="160" w:right="375" w:firstLine="600"/>
        <w:rPr>
          <w:sz w:val="28"/>
          <w:szCs w:val="28"/>
        </w:rPr>
      </w:pPr>
      <w:r>
        <w:rPr>
          <w:rFonts w:eastAsia="宋体"/>
          <w:sz w:val="28"/>
          <w:szCs w:val="28"/>
        </w:rPr>
        <w:t>第十二條 通過代理模式辦理福費廷業務，即銀行接受受益人的委託，以代理方式將開證行/保兌行確認到期付款的未到期債權賣斷給第三方銀行的，轉賣銀行比照本指引一級市場福費廷管理，買入銀行比照本指引二級市場福費廷管理，雙方權利、義務以雙方簽訂的協議為准。</w:t>
      </w:r>
    </w:p>
    <w:p>
      <w:pPr>
        <w:pStyle w:val="3"/>
        <w:spacing w:before="7" w:line="350" w:lineRule="auto"/>
        <w:ind w:left="160" w:right="420" w:firstLine="640"/>
        <w:rPr>
          <w:sz w:val="28"/>
          <w:szCs w:val="28"/>
        </w:rPr>
      </w:pPr>
      <w:r>
        <w:rPr>
          <w:rFonts w:eastAsia="宋体"/>
          <w:sz w:val="28"/>
          <w:szCs w:val="28"/>
        </w:rPr>
        <w:t>第十三條 本指引由中國銀行業協會貿易金融專業委員會組織制定並負責解釋。</w:t>
      </w:r>
    </w:p>
    <w:p>
      <w:pPr>
        <w:pStyle w:val="3"/>
        <w:spacing w:before="3"/>
        <w:ind w:left="800"/>
        <w:rPr>
          <w:sz w:val="28"/>
          <w:szCs w:val="28"/>
        </w:rPr>
      </w:pPr>
      <w:r>
        <w:rPr>
          <w:rFonts w:eastAsia="宋体"/>
          <w:sz w:val="28"/>
          <w:szCs w:val="28"/>
        </w:rPr>
        <w:t>第十四條 本指引自公佈之日起施行。</w:t>
      </w:r>
    </w:p>
    <w:p>
      <w:pPr>
        <w:spacing w:after="0"/>
        <w:rPr>
          <w:sz w:val="28"/>
          <w:szCs w:val="28"/>
        </w:rPr>
        <w:sectPr>
          <w:pgSz w:w="11910" w:h="16840"/>
          <w:pgMar w:top="1540" w:right="1380" w:bottom="1220" w:left="1640" w:header="0" w:footer="1038" w:gutter="0"/>
          <w:cols w:space="720" w:num="1"/>
        </w:sectPr>
      </w:pPr>
    </w:p>
    <w:p>
      <w:pPr>
        <w:pStyle w:val="3"/>
        <w:spacing w:before="30"/>
        <w:ind w:left="160"/>
        <w:rPr>
          <w:sz w:val="28"/>
          <w:szCs w:val="28"/>
        </w:rPr>
      </w:pPr>
      <w:r>
        <w:rPr>
          <w:rFonts w:eastAsia="宋体"/>
          <w:sz w:val="28"/>
          <w:szCs w:val="28"/>
        </w:rPr>
        <w:t>（此頁無正文）</w:t>
      </w:r>
    </w:p>
    <w:p>
      <w:pPr>
        <w:spacing w:after="0"/>
        <w:rPr>
          <w:sz w:val="28"/>
          <w:szCs w:val="28"/>
        </w:rPr>
        <w:sectPr>
          <w:footerReference r:id="rId7" w:type="even"/>
          <w:pgSz w:w="11910" w:h="16840"/>
          <w:pgMar w:top="1500" w:right="1380" w:bottom="280" w:left="1640" w:header="0" w:footer="0" w:gutter="0"/>
          <w:cols w:space="720" w:num="1"/>
        </w:sectPr>
      </w:pPr>
    </w:p>
    <w:p>
      <w:pPr>
        <w:pStyle w:val="3"/>
        <w:spacing w:before="30"/>
        <w:ind w:left="160"/>
        <w:rPr>
          <w:sz w:val="28"/>
          <w:szCs w:val="28"/>
        </w:rPr>
      </w:pPr>
      <w:r>
        <w:rPr>
          <w:rFonts w:eastAsia="宋体"/>
          <w:sz w:val="28"/>
          <w:szCs w:val="28"/>
        </w:rPr>
        <w:t>（此頁無正文）</w:t>
      </w:r>
    </w:p>
    <w:p>
      <w:pPr>
        <w:spacing w:after="0"/>
        <w:rPr>
          <w:sz w:val="28"/>
          <w:szCs w:val="28"/>
        </w:rPr>
        <w:sectPr>
          <w:footerReference r:id="rId8" w:type="default"/>
          <w:pgSz w:w="11910" w:h="16840"/>
          <w:pgMar w:top="1500" w:right="1380" w:bottom="280" w:left="1640" w:header="0" w:footer="0" w:gutter="0"/>
          <w:cols w:space="720" w:num="1"/>
        </w:sectPr>
      </w:pPr>
    </w:p>
    <w:p>
      <w:pPr>
        <w:pStyle w:val="3"/>
        <w:spacing w:before="30"/>
        <w:ind w:left="160"/>
        <w:rPr>
          <w:sz w:val="28"/>
          <w:szCs w:val="28"/>
        </w:rPr>
      </w:pPr>
      <w:r>
        <w:rPr>
          <w:rFonts w:eastAsia="宋体"/>
          <w:sz w:val="28"/>
          <w:szCs w:val="28"/>
        </w:rPr>
        <w:t>（此頁無正文）</w:t>
      </w:r>
    </w:p>
    <w:p>
      <w:pPr>
        <w:pStyle w:val="3"/>
        <w:rPr>
          <w:sz w:val="28"/>
          <w:szCs w:val="28"/>
        </w:rPr>
      </w:pPr>
    </w:p>
    <w:p>
      <w:pPr>
        <w:pStyle w:val="3"/>
        <w:rPr>
          <w:sz w:val="28"/>
          <w:szCs w:val="28"/>
        </w:rPr>
      </w:pPr>
    </w:p>
    <w:p>
      <w:pPr>
        <w:pStyle w:val="3"/>
        <w:rPr>
          <w:sz w:val="28"/>
          <w:szCs w:val="28"/>
        </w:rPr>
      </w:pPr>
    </w:p>
    <w:p>
      <w:pPr>
        <w:pStyle w:val="3"/>
        <w:rPr>
          <w:sz w:val="28"/>
          <w:szCs w:val="28"/>
        </w:rPr>
      </w:pPr>
    </w:p>
    <w:p>
      <w:pPr>
        <w:pStyle w:val="3"/>
        <w:rPr>
          <w:sz w:val="28"/>
          <w:szCs w:val="28"/>
        </w:rPr>
      </w:pPr>
    </w:p>
    <w:p>
      <w:pPr>
        <w:pStyle w:val="3"/>
        <w:rPr>
          <w:sz w:val="28"/>
          <w:szCs w:val="28"/>
        </w:rPr>
      </w:pPr>
    </w:p>
    <w:p>
      <w:pPr>
        <w:pStyle w:val="3"/>
        <w:rPr>
          <w:sz w:val="28"/>
          <w:szCs w:val="28"/>
        </w:rPr>
      </w:pPr>
    </w:p>
    <w:p>
      <w:pPr>
        <w:pStyle w:val="3"/>
        <w:rPr>
          <w:sz w:val="28"/>
          <w:szCs w:val="28"/>
        </w:rPr>
      </w:pPr>
    </w:p>
    <w:p>
      <w:pPr>
        <w:pStyle w:val="3"/>
        <w:rPr>
          <w:sz w:val="28"/>
          <w:szCs w:val="28"/>
        </w:rPr>
      </w:pPr>
    </w:p>
    <w:p>
      <w:pPr>
        <w:pStyle w:val="3"/>
        <w:rPr>
          <w:sz w:val="28"/>
          <w:szCs w:val="28"/>
        </w:rPr>
      </w:pPr>
    </w:p>
    <w:p>
      <w:pPr>
        <w:pStyle w:val="3"/>
        <w:rPr>
          <w:sz w:val="28"/>
          <w:szCs w:val="28"/>
        </w:rPr>
      </w:pPr>
    </w:p>
    <w:p>
      <w:pPr>
        <w:pStyle w:val="3"/>
        <w:rPr>
          <w:sz w:val="28"/>
          <w:szCs w:val="28"/>
        </w:rPr>
      </w:pPr>
    </w:p>
    <w:p>
      <w:pPr>
        <w:pStyle w:val="3"/>
        <w:rPr>
          <w:sz w:val="28"/>
          <w:szCs w:val="28"/>
        </w:rPr>
      </w:pPr>
    </w:p>
    <w:p>
      <w:pPr>
        <w:pStyle w:val="3"/>
        <w:rPr>
          <w:sz w:val="28"/>
          <w:szCs w:val="28"/>
        </w:rPr>
      </w:pPr>
    </w:p>
    <w:p>
      <w:pPr>
        <w:pStyle w:val="3"/>
        <w:rPr>
          <w:sz w:val="28"/>
          <w:szCs w:val="28"/>
        </w:rPr>
      </w:pPr>
    </w:p>
    <w:p>
      <w:pPr>
        <w:pStyle w:val="3"/>
        <w:rPr>
          <w:sz w:val="28"/>
          <w:szCs w:val="28"/>
        </w:rPr>
      </w:pPr>
    </w:p>
    <w:p>
      <w:pPr>
        <w:pStyle w:val="3"/>
        <w:rPr>
          <w:sz w:val="28"/>
          <w:szCs w:val="28"/>
        </w:rPr>
      </w:pPr>
    </w:p>
    <w:p>
      <w:pPr>
        <w:pStyle w:val="3"/>
        <w:rPr>
          <w:sz w:val="28"/>
          <w:szCs w:val="28"/>
        </w:rPr>
      </w:pPr>
    </w:p>
    <w:p>
      <w:pPr>
        <w:pStyle w:val="3"/>
        <w:rPr>
          <w:sz w:val="28"/>
          <w:szCs w:val="28"/>
        </w:rPr>
      </w:pPr>
    </w:p>
    <w:p>
      <w:pPr>
        <w:pStyle w:val="3"/>
        <w:rPr>
          <w:sz w:val="28"/>
          <w:szCs w:val="28"/>
        </w:rPr>
      </w:pPr>
    </w:p>
    <w:p>
      <w:pPr>
        <w:pStyle w:val="3"/>
        <w:rPr>
          <w:sz w:val="28"/>
          <w:szCs w:val="28"/>
        </w:rPr>
      </w:pPr>
    </w:p>
    <w:p>
      <w:pPr>
        <w:pStyle w:val="3"/>
        <w:rPr>
          <w:sz w:val="28"/>
          <w:szCs w:val="28"/>
        </w:rPr>
      </w:pPr>
    </w:p>
    <w:p>
      <w:pPr>
        <w:pStyle w:val="3"/>
        <w:rPr>
          <w:sz w:val="28"/>
          <w:szCs w:val="28"/>
        </w:rPr>
      </w:pPr>
    </w:p>
    <w:p>
      <w:pPr>
        <w:pStyle w:val="3"/>
        <w:rPr>
          <w:sz w:val="28"/>
          <w:szCs w:val="28"/>
        </w:rPr>
      </w:pPr>
    </w:p>
    <w:p>
      <w:pPr>
        <w:pStyle w:val="3"/>
        <w:rPr>
          <w:sz w:val="28"/>
          <w:szCs w:val="28"/>
        </w:rPr>
      </w:pPr>
    </w:p>
    <w:p>
      <w:pPr>
        <w:pStyle w:val="3"/>
        <w:rPr>
          <w:sz w:val="28"/>
          <w:szCs w:val="28"/>
        </w:rPr>
      </w:pPr>
    </w:p>
    <w:p>
      <w:pPr>
        <w:pStyle w:val="3"/>
        <w:rPr>
          <w:sz w:val="28"/>
          <w:szCs w:val="28"/>
        </w:rPr>
      </w:pPr>
    </w:p>
    <w:p>
      <w:pPr>
        <w:pStyle w:val="3"/>
        <w:spacing w:before="6"/>
        <w:rPr>
          <w:sz w:val="28"/>
          <w:szCs w:val="28"/>
        </w:rPr>
      </w:pPr>
    </w:p>
    <w:p>
      <w:pPr>
        <w:spacing w:before="0"/>
        <w:ind w:left="6880" w:right="0" w:firstLine="0"/>
        <w:jc w:val="left"/>
        <w:rPr>
          <w:sz w:val="28"/>
          <w:szCs w:val="28"/>
        </w:rPr>
      </w:pPr>
      <w:r>
        <w:rPr>
          <w:sz w:val="28"/>
          <w:szCs w:val="28"/>
        </w:rPr>
        <w:pict>
          <v:rect id="_x0000_s1036" o:spid="_x0000_s1036" o:spt="1" style="position:absolute;left:0pt;margin-left:87.15pt;margin-top:24.4pt;height:1.25pt;width:423pt;mso-position-horizontal-relative:page;mso-wrap-distance-bottom:0pt;mso-wrap-distance-top:0pt;z-index:-251652096;mso-width-relative:page;mso-height-relative:page;" fillcolor="#000000" filled="t" stroked="f" coordsize="21600,21600">
            <v:path/>
            <v:fill on="t" focussize="0,0"/>
            <v:stroke on="f"/>
            <v:imagedata o:title=""/>
            <o:lock v:ext="edit"/>
            <w10:wrap type="topAndBottom"/>
          </v:rect>
        </w:pict>
      </w:r>
      <w:r>
        <w:rPr>
          <w:sz w:val="28"/>
          <w:szCs w:val="28"/>
        </w:rPr>
        <w:pict>
          <v:rect id="_x0000_s1037" o:spid="_x0000_s1037" o:spt="1" style="position:absolute;left:0pt;margin-left:87.15pt;margin-top:45.65pt;height:0.6pt;width:423pt;mso-position-horizontal-relative:page;z-index:-251654144;mso-width-relative:page;mso-height-relative:page;" fillcolor="#000000" filled="t" stroked="f" coordsize="21600,21600">
            <v:path/>
            <v:fill on="t" focussize="0,0"/>
            <v:stroke on="f"/>
            <v:imagedata o:title=""/>
            <o:lock v:ext="edit"/>
          </v:rect>
        </w:pict>
      </w:r>
      <w:r>
        <w:rPr>
          <w:sz w:val="28"/>
          <w:szCs w:val="28"/>
        </w:rPr>
        <w:pict>
          <v:rect id="_x0000_s1038" o:spid="_x0000_s1038" o:spt="1" style="position:absolute;left:0pt;margin-left:87.15pt;margin-top:75.95pt;height:1.25pt;width:423pt;mso-position-horizontal-relative:page;z-index:-251654144;mso-width-relative:page;mso-height-relative:page;" fillcolor="#000000" filled="t" stroked="f" coordsize="21600,21600">
            <v:path/>
            <v:fill on="t" focussize="0,0"/>
            <v:stroke on="f"/>
            <v:imagedata o:title=""/>
            <o:lock v:ext="edit"/>
          </v:rect>
        </w:pict>
      </w:r>
      <w:r>
        <w:rPr>
          <w:rFonts w:eastAsia="宋体"/>
          <w:sz w:val="28"/>
          <w:szCs w:val="28"/>
        </w:rPr>
        <w:t>（共印 20 份）</w:t>
      </w:r>
    </w:p>
    <w:p>
      <w:pPr>
        <w:tabs>
          <w:tab w:val="left" w:pos="3491"/>
          <w:tab w:val="left" w:pos="5900"/>
          <w:tab w:val="left" w:pos="6812"/>
        </w:tabs>
        <w:spacing w:before="21" w:line="400" w:lineRule="auto"/>
        <w:ind w:left="160" w:right="417" w:firstLine="0"/>
        <w:jc w:val="left"/>
        <w:rPr>
          <w:sz w:val="28"/>
          <w:szCs w:val="28"/>
        </w:rPr>
      </w:pPr>
      <w:r>
        <w:rPr>
          <w:rFonts w:eastAsia="宋体"/>
          <w:sz w:val="28"/>
          <w:szCs w:val="28"/>
        </w:rPr>
        <w:t>聯</w:t>
      </w:r>
      <w:r>
        <w:rPr>
          <w:rFonts w:eastAsia="宋体"/>
          <w:spacing w:val="-3"/>
          <w:sz w:val="28"/>
          <w:szCs w:val="28"/>
        </w:rPr>
        <w:t>繫</w:t>
      </w:r>
      <w:r>
        <w:rPr>
          <w:rFonts w:eastAsia="宋体"/>
          <w:sz w:val="28"/>
          <w:szCs w:val="28"/>
        </w:rPr>
        <w:t>人</w:t>
      </w:r>
      <w:r>
        <w:rPr>
          <w:rFonts w:eastAsia="宋体"/>
          <w:spacing w:val="-29"/>
          <w:sz w:val="28"/>
          <w:szCs w:val="28"/>
        </w:rPr>
        <w:t>：</w:t>
      </w:r>
      <w:r>
        <w:rPr>
          <w:rFonts w:eastAsia="宋体"/>
          <w:sz w:val="28"/>
          <w:szCs w:val="28"/>
        </w:rPr>
        <w:t>張鳳</w:t>
      </w:r>
      <w:r>
        <w:rPr>
          <w:sz w:val="28"/>
          <w:szCs w:val="28"/>
        </w:rPr>
        <w:tab/>
      </w:r>
      <w:r>
        <w:rPr>
          <w:rFonts w:eastAsia="宋体"/>
          <w:sz w:val="28"/>
          <w:szCs w:val="28"/>
        </w:rPr>
        <w:t>聯</w:t>
      </w:r>
      <w:r>
        <w:rPr>
          <w:rFonts w:eastAsia="宋体"/>
          <w:spacing w:val="-3"/>
          <w:sz w:val="28"/>
          <w:szCs w:val="28"/>
        </w:rPr>
        <w:t>繫</w:t>
      </w:r>
      <w:r>
        <w:rPr>
          <w:rFonts w:eastAsia="宋体"/>
          <w:sz w:val="28"/>
          <w:szCs w:val="28"/>
        </w:rPr>
        <w:t>電話</w:t>
      </w:r>
      <w:r>
        <w:rPr>
          <w:rFonts w:eastAsia="宋体"/>
          <w:spacing w:val="-5"/>
          <w:sz w:val="28"/>
          <w:szCs w:val="28"/>
        </w:rPr>
        <w:t>：</w:t>
      </w:r>
      <w:r>
        <w:rPr>
          <w:rFonts w:ascii="Times New Roman" w:eastAsia="宋体"/>
          <w:spacing w:val="-5"/>
          <w:sz w:val="28"/>
          <w:szCs w:val="28"/>
        </w:rPr>
        <w:t>66291180</w:t>
      </w:r>
      <w:r>
        <w:rPr>
          <w:rFonts w:ascii="Times New Roman" w:eastAsia="Times New Roman"/>
          <w:spacing w:val="-5"/>
          <w:sz w:val="28"/>
          <w:szCs w:val="28"/>
        </w:rPr>
        <w:tab/>
      </w:r>
      <w:r>
        <w:rPr>
          <w:rFonts w:eastAsia="宋体"/>
          <w:sz w:val="28"/>
          <w:szCs w:val="28"/>
        </w:rPr>
        <w:t>校</w:t>
      </w:r>
      <w:r>
        <w:rPr>
          <w:rFonts w:eastAsia="宋体"/>
          <w:spacing w:val="-3"/>
          <w:sz w:val="28"/>
          <w:szCs w:val="28"/>
        </w:rPr>
        <w:t>對</w:t>
      </w:r>
      <w:r>
        <w:rPr>
          <w:rFonts w:eastAsia="宋体"/>
          <w:spacing w:val="-27"/>
          <w:sz w:val="28"/>
          <w:szCs w:val="28"/>
        </w:rPr>
        <w:t>：</w:t>
      </w:r>
      <w:r>
        <w:rPr>
          <w:rFonts w:eastAsia="宋体"/>
          <w:sz w:val="28"/>
          <w:szCs w:val="28"/>
        </w:rPr>
        <w:t>郭</w:t>
      </w:r>
      <w:r>
        <w:rPr>
          <w:rFonts w:eastAsia="宋体"/>
          <w:spacing w:val="-3"/>
          <w:sz w:val="28"/>
          <w:szCs w:val="28"/>
        </w:rPr>
        <w:t>曉</w:t>
      </w:r>
      <w:r>
        <w:rPr>
          <w:rFonts w:eastAsia="宋体"/>
          <w:spacing w:val="-14"/>
          <w:sz w:val="28"/>
          <w:szCs w:val="28"/>
        </w:rPr>
        <w:t>蕾</w:t>
      </w:r>
      <w:r>
        <w:rPr>
          <w:rFonts w:eastAsia="宋体"/>
          <w:sz w:val="28"/>
          <w:szCs w:val="28"/>
        </w:rPr>
        <w:t>中</w:t>
      </w:r>
      <w:r>
        <w:rPr>
          <w:rFonts w:eastAsia="宋体"/>
          <w:spacing w:val="-3"/>
          <w:sz w:val="28"/>
          <w:szCs w:val="28"/>
        </w:rPr>
        <w:t>國</w:t>
      </w:r>
      <w:r>
        <w:rPr>
          <w:rFonts w:eastAsia="宋体"/>
          <w:sz w:val="28"/>
          <w:szCs w:val="28"/>
        </w:rPr>
        <w:t>銀行</w:t>
      </w:r>
      <w:r>
        <w:rPr>
          <w:rFonts w:eastAsia="宋体"/>
          <w:spacing w:val="-3"/>
          <w:sz w:val="28"/>
          <w:szCs w:val="28"/>
        </w:rPr>
        <w:t>業</w:t>
      </w:r>
      <w:r>
        <w:rPr>
          <w:rFonts w:eastAsia="宋体"/>
          <w:sz w:val="28"/>
          <w:szCs w:val="28"/>
        </w:rPr>
        <w:t>協會</w:t>
      </w:r>
      <w:r>
        <w:rPr>
          <w:rFonts w:eastAsia="宋体"/>
          <w:spacing w:val="-3"/>
          <w:sz w:val="28"/>
          <w:szCs w:val="28"/>
        </w:rPr>
        <w:t>秘</w:t>
      </w:r>
      <w:r>
        <w:rPr>
          <w:rFonts w:eastAsia="宋体"/>
          <w:sz w:val="28"/>
          <w:szCs w:val="28"/>
        </w:rPr>
        <w:t>書處</w:t>
      </w:r>
      <w:r>
        <w:rPr>
          <w:sz w:val="28"/>
          <w:szCs w:val="28"/>
        </w:rPr>
        <w:tab/>
      </w:r>
      <w:r>
        <w:rPr>
          <w:sz w:val="28"/>
          <w:szCs w:val="28"/>
        </w:rPr>
        <w:tab/>
      </w:r>
      <w:r>
        <w:rPr>
          <w:rFonts w:ascii="Times New Roman" w:eastAsia="宋体"/>
          <w:sz w:val="28"/>
          <w:szCs w:val="28"/>
        </w:rPr>
        <w:t>2019</w:t>
      </w:r>
      <w:r>
        <w:rPr>
          <w:rFonts w:ascii="Times New Roman" w:eastAsia="宋体"/>
          <w:spacing w:val="-7"/>
          <w:sz w:val="28"/>
          <w:szCs w:val="28"/>
        </w:rPr>
        <w:t xml:space="preserve"> </w:t>
      </w:r>
      <w:r>
        <w:rPr>
          <w:rFonts w:eastAsia="宋体"/>
          <w:sz w:val="28"/>
          <w:szCs w:val="28"/>
        </w:rPr>
        <w:t>年</w:t>
      </w:r>
      <w:r>
        <w:rPr>
          <w:rFonts w:eastAsia="宋体"/>
          <w:spacing w:val="-75"/>
          <w:sz w:val="28"/>
          <w:szCs w:val="28"/>
        </w:rPr>
        <w:t xml:space="preserve"> </w:t>
      </w:r>
      <w:r>
        <w:rPr>
          <w:rFonts w:ascii="Times New Roman" w:eastAsia="宋体"/>
          <w:sz w:val="28"/>
          <w:szCs w:val="28"/>
        </w:rPr>
        <w:t>7</w:t>
      </w:r>
      <w:r>
        <w:rPr>
          <w:rFonts w:ascii="Times New Roman" w:eastAsia="宋体"/>
          <w:spacing w:val="-6"/>
          <w:sz w:val="28"/>
          <w:szCs w:val="28"/>
        </w:rPr>
        <w:t xml:space="preserve"> </w:t>
      </w:r>
      <w:r>
        <w:rPr>
          <w:rFonts w:eastAsia="宋体"/>
          <w:sz w:val="28"/>
          <w:szCs w:val="28"/>
        </w:rPr>
        <w:t>月</w:t>
      </w:r>
      <w:r>
        <w:rPr>
          <w:rFonts w:eastAsia="宋体"/>
          <w:spacing w:val="-76"/>
          <w:sz w:val="28"/>
          <w:szCs w:val="28"/>
        </w:rPr>
        <w:t xml:space="preserve"> </w:t>
      </w:r>
      <w:r>
        <w:rPr>
          <w:rFonts w:ascii="Times New Roman" w:eastAsia="宋体"/>
          <w:sz w:val="28"/>
          <w:szCs w:val="28"/>
        </w:rPr>
        <w:t>4</w:t>
      </w:r>
      <w:r>
        <w:rPr>
          <w:rFonts w:ascii="Times New Roman" w:eastAsia="宋体"/>
          <w:spacing w:val="-4"/>
          <w:sz w:val="28"/>
          <w:szCs w:val="28"/>
        </w:rPr>
        <w:t xml:space="preserve"> </w:t>
      </w:r>
      <w:r>
        <w:rPr>
          <w:rFonts w:eastAsia="宋体"/>
          <w:sz w:val="28"/>
          <w:szCs w:val="28"/>
        </w:rPr>
        <w:t>日</w:t>
      </w:r>
      <w:r>
        <w:rPr>
          <w:rFonts w:eastAsia="宋体"/>
          <w:spacing w:val="-3"/>
          <w:sz w:val="28"/>
          <w:szCs w:val="28"/>
        </w:rPr>
        <w:t>印</w:t>
      </w:r>
      <w:r>
        <w:rPr>
          <w:rFonts w:eastAsia="宋体"/>
          <w:spacing w:val="-11"/>
          <w:sz w:val="28"/>
          <w:szCs w:val="28"/>
        </w:rPr>
        <w:t>發</w:t>
      </w:r>
    </w:p>
    <w:sectPr>
      <w:footerReference r:id="rId9" w:type="even"/>
      <w:pgSz w:w="11910" w:h="16840"/>
      <w:pgMar w:top="1500" w:right="1380" w:bottom="280" w:left="1640" w:header="0" w:footer="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10002FF" w:usb1="4000ACFF" w:usb2="00000009" w:usb3="00000000" w:csb0="2000019F" w:csb1="00000000"/>
  </w:font>
  <w:font w:name="Calibri">
    <w:panose1 w:val="020F0502020204030204"/>
    <w:charset w:val="00"/>
    <w:family w:val="auto"/>
    <w:pitch w:val="default"/>
    <w:sig w:usb0="E10002FF" w:usb1="4000ACFF" w:usb2="00000009"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w:pict>
        <v:shape id="_x0000_s2049" o:spid="_x0000_s2049" o:spt="202" type="#_x0000_t202" style="position:absolute;left:0pt;margin-left:455pt;margin-top:778.95pt;height:16.05pt;width:54.1pt;mso-position-horizontal-relative:page;mso-position-vertical-relative:page;z-index:-251656192;mso-width-relative:page;mso-height-relative:page;" filled="f" stroked="f" coordsize="21600,21600">
          <v:path/>
          <v:fill on="f" focussize="0,0"/>
          <v:stroke on="f" joinstyle="miter"/>
          <v:imagedata o:title=""/>
          <o:lock v:ext="edit"/>
          <v:textbox inset="0mm,0mm,0mm,0mm">
            <w:txbxContent>
              <w:p>
                <w:pPr>
                  <w:spacing w:before="0" w:line="321" w:lineRule="exact"/>
                  <w:ind w:left="20" w:right="0" w:firstLine="0"/>
                  <w:jc w:val="left"/>
                  <w:rPr>
                    <w:sz w:val="28"/>
                  </w:rPr>
                </w:pPr>
                <w:r>
                  <w:rPr>
                    <w:sz w:val="28"/>
                  </w:rPr>
                  <w:t xml:space="preserve">— </w:t>
                </w:r>
                <w:r>
                  <w:fldChar w:fldCharType="begin"/>
                </w:r>
                <w:r>
                  <w:rPr>
                    <w:sz w:val="28"/>
                  </w:rPr>
                  <w:instrText xml:space="preserve"> PAGE </w:instrText>
                </w:r>
                <w:r>
                  <w:fldChar w:fldCharType="separate"/>
                </w:r>
                <w:r>
                  <w:t>1</w:t>
                </w:r>
                <w:r>
                  <w:fldChar w:fldCharType="end"/>
                </w:r>
                <w:r>
                  <w:rPr>
                    <w:sz w:val="28"/>
                  </w:rPr>
                  <w:t xml:space="preserve"> —</w:t>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w:pict>
        <v:shape id="_x0000_s2050" o:spid="_x0000_s2050" o:spt="202" type="#_x0000_t202" style="position:absolute;left:0pt;margin-left:89.2pt;margin-top:778.95pt;height:16.05pt;width:54.1pt;mso-position-horizontal-relative:page;mso-position-vertical-relative:page;z-index:-251655168;mso-width-relative:page;mso-height-relative:page;" filled="f" stroked="f" coordsize="21600,21600">
          <v:path/>
          <v:fill on="f" focussize="0,0"/>
          <v:stroke on="f" joinstyle="miter"/>
          <v:imagedata o:title=""/>
          <o:lock v:ext="edit"/>
          <v:textbox inset="0mm,0mm,0mm,0mm">
            <w:txbxContent>
              <w:p>
                <w:pPr>
                  <w:spacing w:before="0" w:line="321" w:lineRule="exact"/>
                  <w:ind w:left="20" w:right="0" w:firstLine="0"/>
                  <w:jc w:val="left"/>
                  <w:rPr>
                    <w:sz w:val="28"/>
                  </w:rPr>
                </w:pPr>
                <w:r>
                  <w:rPr>
                    <w:sz w:val="28"/>
                  </w:rPr>
                  <w:t xml:space="preserve">— </w:t>
                </w:r>
                <w:r>
                  <w:fldChar w:fldCharType="begin"/>
                </w:r>
                <w:r>
                  <w:rPr>
                    <w:sz w:val="28"/>
                  </w:rPr>
                  <w:instrText xml:space="preserve"> PAGE </w:instrText>
                </w:r>
                <w:r>
                  <w:fldChar w:fldCharType="separate"/>
                </w:r>
                <w:r>
                  <w:t>2</w:t>
                </w:r>
                <w:r>
                  <w:fldChar w:fldCharType="end"/>
                </w:r>
                <w:r>
                  <w:rPr>
                    <w:sz w:val="28"/>
                  </w:rPr>
                  <w:t xml:space="preserve"> —</w:t>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documentProtection w:enforcement="0"/>
  <w:defaultTabStop w:val="720"/>
  <w:evenAndOddHeaders w:val="1"/>
  <w:drawingGridHorizontalSpacing w:val="110"/>
  <w:displayHorizontalDrawingGridEvery w:val="2"/>
  <w:characterSpacingControl w:val="doNotCompress"/>
  <w:hdrShapeDefaults>
    <o:shapelayout v:ext="edit">
      <o:idmap v:ext="edit" data="2"/>
    </o:shapelayout>
  </w:hdrShapeDefaults>
  <w:footnotePr>
    <w:footnote w:id="0"/>
    <w:footnote w:id="1"/>
  </w:footnotePr>
  <w:endnotePr>
    <w:endnote w:id="0"/>
    <w:endnote w:id="1"/>
  </w:endnotePr>
  <w:compat>
    <w:ulTrailSpace/>
    <w:shapeLayoutLikeWW8/>
    <w:useFELayout/>
    <w:compatSetting w:name="compatibilityMode" w:uri="http://schemas.microsoft.com/office/word" w:val="12"/>
  </w:compat>
  <w:docVars>
    <w:docVar w:name="commondata" w:val="eyJoZGlkIjoiNmE4ZDQ1MTQ3NTY0MThjMTQzN2QzNzYyOGE5NTIxZjEifQ=="/>
  </w:docVars>
  <w:rsids>
    <w:rsidRoot w:val="00000000"/>
    <w:rsid w:val="0BAC0FD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en-US" w:eastAsia="zh-CN" w:bidi="ar-SA"/>
    </w:rPr>
  </w:style>
  <w:style w:type="paragraph" w:styleId="2">
    <w:name w:val="heading 1"/>
    <w:basedOn w:val="1"/>
    <w:next w:val="1"/>
    <w:qFormat/>
    <w:uiPriority w:val="1"/>
    <w:pPr>
      <w:ind w:left="186" w:right="436"/>
      <w:jc w:val="center"/>
      <w:outlineLvl w:val="1"/>
    </w:pPr>
    <w:rPr>
      <w:rFonts w:ascii="宋体" w:hAnsi="宋体" w:eastAsia="宋体" w:cs="宋体"/>
      <w:sz w:val="36"/>
      <w:szCs w:val="36"/>
      <w:lang w:val="en-US" w:eastAsia="zh-CN" w:bidi="ar-SA"/>
    </w:rPr>
  </w:style>
  <w:style w:type="character" w:default="1" w:styleId="5">
    <w:name w:val="Default Paragraph Font"/>
    <w:semiHidden/>
    <w:unhideWhenUsed/>
    <w:uiPriority w:val="1"/>
  </w:style>
  <w:style w:type="table" w:default="1" w:styleId="4">
    <w:name w:val="Normal Table"/>
    <w:semiHidden/>
    <w:uiPriority w:val="0"/>
    <w:tblPr>
      <w:tblCellMar>
        <w:top w:w="0" w:type="dxa"/>
        <w:left w:w="108" w:type="dxa"/>
        <w:bottom w:w="0" w:type="dxa"/>
        <w:right w:w="108" w:type="dxa"/>
      </w:tblCellMar>
    </w:tblPr>
  </w:style>
  <w:style w:type="paragraph" w:styleId="3">
    <w:name w:val="Body Text"/>
    <w:basedOn w:val="1"/>
    <w:qFormat/>
    <w:uiPriority w:val="1"/>
    <w:rPr>
      <w:rFonts w:ascii="宋体" w:hAnsi="宋体" w:eastAsia="宋体" w:cs="宋体"/>
      <w:sz w:val="32"/>
      <w:szCs w:val="32"/>
      <w:lang w:val="en-US" w:eastAsia="zh-CN" w:bidi="ar-SA"/>
    </w:rPr>
  </w:style>
  <w:style w:type="table" w:customStyle="1" w:styleId="6">
    <w:name w:val="Table Normal"/>
    <w:semiHidden/>
    <w:unhideWhenUsed/>
    <w:qFormat/>
    <w:uiPriority w:val="2"/>
    <w:tblPr>
      <w:tblCellMar>
        <w:top w:w="0" w:type="dxa"/>
        <w:left w:w="0" w:type="dxa"/>
        <w:bottom w:w="0" w:type="dxa"/>
        <w:right w:w="0" w:type="dxa"/>
      </w:tblCellMar>
    </w:tblPr>
  </w:style>
  <w:style w:type="paragraph" w:styleId="7">
    <w:name w:val="List Paragraph"/>
    <w:basedOn w:val="1"/>
    <w:qFormat/>
    <w:uiPriority w:val="1"/>
    <w:rPr>
      <w:lang w:val="en-US" w:eastAsia="zh-CN" w:bidi="ar-SA"/>
    </w:rPr>
  </w:style>
  <w:style w:type="paragraph" w:customStyle="1" w:styleId="8">
    <w:name w:val="Table Paragraph"/>
    <w:basedOn w:val="1"/>
    <w:qFormat/>
    <w:uiPriority w:val="1"/>
    <w:rPr>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image" Target="media/image1.png"/><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2049"/>
    <customShpInfo spid="_x0000_s2050"/>
    <customShpInfo spid="_x0000_s1032"/>
    <customShpInfo spid="_x0000_s1031"/>
    <customShpInfo spid="_x0000_s1034"/>
    <customShpInfo spid="_x0000_s1035"/>
    <customShpInfo spid="_x0000_s1033"/>
    <customShpInfo spid="_x0000_s1036"/>
    <customShpInfo spid="_x0000_s1037"/>
    <customShpInfo spid="_x0000_s103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ScaleCrop>false</ScaleCrop>
  <LinksUpToDate>false</LinksUpToDate>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2022-09-19T04:13:00Z</dcterms:created>
  <dc:creator>wufan</dc:creator>
  <cp:lastModifiedBy>周强</cp:lastModifiedBy>
  <dcterms:modified xsi:type="dcterms:W3CDTF">2022-09-19T04:14:33Z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2019-07-04T00:00:00Z</vt:filetime>
  </property>
  <property fmtid="{D5CDD505-2E9C-101B-9397-08002B2CF9AE}" pid="3" name="Creator">
    <vt:lpwstr>WPS 文字</vt:lpwstr>
  </property>
  <property fmtid="{D5CDD505-2E9C-101B-9397-08002B2CF9AE}" pid="4" name="LastSaved">
    <vt:filetime>2022-09-19T00:00:00Z</vt:filetime>
  </property>
  <property fmtid="{D5CDD505-2E9C-101B-9397-08002B2CF9AE}" pid="5" name="KSOProductBuildVer">
    <vt:lpwstr>2052-11.1.0.12358</vt:lpwstr>
  </property>
  <property fmtid="{D5CDD505-2E9C-101B-9397-08002B2CF9AE}" pid="6" name="ICV">
    <vt:lpwstr>1DEBCA8F74EC4AB1AE354A61AB3F9560</vt:lpwstr>
  </property>
</Properties>
</file>