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ascii="微软雅黑" w:hAnsi="微软雅黑" w:eastAsia="微软雅黑" w:cs="微软雅黑"/>
          <w:i w:val="0"/>
          <w:iCs w:val="0"/>
          <w:caps w:val="0"/>
          <w:color w:val="323232"/>
          <w:spacing w:val="30"/>
          <w:sz w:val="22"/>
          <w:szCs w:val="22"/>
        </w:rPr>
      </w:pPr>
      <w:bookmarkStart w:id="0" w:name="_GoBack"/>
      <w:r>
        <w:rPr>
          <w:rFonts w:hint="eastAsia" w:ascii="宋体" w:hAnsi="宋体" w:eastAsia="宋体" w:cs="宋体"/>
          <w:i w:val="0"/>
          <w:iCs w:val="0"/>
          <w:caps w:val="0"/>
          <w:color w:val="FF4C41"/>
          <w:spacing w:val="30"/>
          <w:sz w:val="30"/>
          <w:szCs w:val="30"/>
          <w:bdr w:val="none" w:color="auto" w:sz="0" w:space="0"/>
          <w:shd w:val="clear" w:fill="FFFFFF"/>
          <w:vertAlign w:val="baseline"/>
        </w:rPr>
        <w:t>安徽省人民政府辦公廳關於印發加快發展數字經濟行動方案（2022—2024年）的通知 皖政辦〔2022〕10號</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各市、縣人民政府，省政府各部門、各直屬機構：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《加快發展數字經濟行動方案（2022—2024年）》已經省政府同意，現印發給你們，請結合實際，認真抓好落實。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right"/>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安徽省人民政府辦公廳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right"/>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2022年8月18日 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center"/>
        <w:textAlignment w:val="baseline"/>
        <w:rPr>
          <w:rFonts w:hint="eastAsia" w:ascii="微软雅黑" w:hAnsi="微软雅黑" w:eastAsia="微软雅黑" w:cs="微软雅黑"/>
          <w:i w:val="0"/>
          <w:iCs w:val="0"/>
          <w:caps w:val="0"/>
          <w:color w:val="323232"/>
          <w:spacing w:val="30"/>
          <w:sz w:val="22"/>
          <w:szCs w:val="22"/>
        </w:rPr>
      </w:pPr>
      <w:r>
        <w:rPr>
          <w:rStyle w:val="5"/>
          <w:rFonts w:hint="eastAsia" w:ascii="宋体" w:hAnsi="宋体" w:eastAsia="宋体" w:cs="宋体"/>
          <w:b/>
          <w:bCs/>
          <w:i w:val="0"/>
          <w:iCs w:val="0"/>
          <w:caps w:val="0"/>
          <w:color w:val="FF4C41"/>
          <w:spacing w:val="30"/>
          <w:sz w:val="30"/>
          <w:szCs w:val="30"/>
          <w:bdr w:val="none" w:color="auto" w:sz="0" w:space="0"/>
          <w:shd w:val="clear" w:fill="FFFFFF"/>
          <w:vertAlign w:val="baseline"/>
        </w:rPr>
        <w:t>加快發展數字經濟行動方案（2022—2024年）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數字經濟是繼農業經濟、工業經濟之後的主要經濟形態，正推動生產方式、生活方式和治理方式深刻變革，成為重組要素資源、重塑經濟結構、改變競爭格局的關鍵力量。為把握數位化發展新機遇，拓展經濟發展新空間，推動我省數字經濟健康發展，制定本行動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一、總體要求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以習近平新時代中國特色社會主義思想為指導，深入貫徹落實習近平總書記關於數字經濟的重要批示和對安徽作出的重要講話指示批示精神，圍繞省第十一次黨代會部署，立足新發展階段，構建新發展格局，推動高質量發展，完整、準確、全面貫徹新發展理念，以數據為關鍵要素，以數字技術與實體經濟深度融合為主線，加強數字基礎設施建設，協同推進數字產業化和產業數位化，賦能傳統產業轉型升級，培育新產業新業態新模式，不斷做強做優做大我省數字經濟，為現代化美好安徽建設提供新的強大動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二、發展目標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產業數位化轉型邁上新臺階。規模以上工業企業技術改造實現全覆蓋，數字技術與實體經濟融合取得顯著成效，企業數位化轉型能力、上雲用數等重點領域發展水準保持全國第一方陣。數字鄉村和智慧農業建設步伐加快，有力助推農業現代化。通過強化數字技術引領，促進服務業新產業、新業態、新模式蓬勃發展，構建影響力大、競爭力強、普惠多元的服務產業新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數字產業化水準顯著提升。數字技術自主創新能力持續提升，數位化產品和服務供給品質大幅提高。建成一批軟體產業園，爭創全國軟體名園。新型顯示、積體電路等產業競爭力全國領先，繼續保持和拓展人工智慧語音技術全球領先優勢。全省數字經濟核心產業增加值占GDP比重力爭達到全國平均水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——數字基礎設施不斷完善。力爭5G網路覆蓋能力進入全國前列。全省一體化數據基礎平臺體系全面建成並持續迭代完善，數字基礎設施服務能力完備。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三、重點任務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（一）數字科創行動。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1．構建高水準創新體系。加強國家實驗室服務保障，推動合肥綜合性國家科學中心數據空間研究院、人工智慧研究院等新型研發機構建設，實施一批重大科技專項、重點研發計畫。推進未來網路試驗設施（合肥分中心）、高精度地基授時系統（合肥一級核心站）、天地一體化資訊網絡合肥中心等重大專案建設。提升類腦智能技術及應用國家工程實驗室、智能語音國家新一代人工智慧開放創新平臺的創新能力。與國內外高校、科研院所、骨幹企業共建技術創新聯盟，打造創新生態。（責任單位：省科技廳，配合單位：省發展改革委、各市人民政府，以下任務均需各市人民政府負責落實，不再列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2．強化科技成果轉化應用。鼓勵高校、科研院所加大對基礎演算法、計算模型、計算體系結構等計算基礎理論研究，並依託企業轉化成具有核心競爭力的行業級計算產品，加大力度推廣應用。高水準建設合蕪蚌國家科技成果轉移轉化示範區，辦好中國（安徽）科技成果轉化交易會。（責任單位：省科技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（二）產業數位化轉型行動。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3．推動農業數位化轉型。加快農業農村生產、經營、管理、服務數位化改造，推進4個國家數字鄉村試點縣、35個省級數字鄉村試點建設。（責任單位：省委網信辦）到2024年，全省建設種植業、畜牧業、漁業數字農業工廠300個、數字農業應用場景累計1400個。（責任單位：省農業農村廳，配合單位：省林業局）推進“互聯網+”農產品出村進城工程。打造網上“農交會”“苗交會”“茶博會”。發展基於互聯網的眾籌農業、定制農業、生鮮電商等新產業新業態。（責任單位：省農業農村廳，配合單位：省商務廳、省市場監管局、省林業局、省供銷社）建立農業產業互聯網數位化產業生態供給資源池，吸引優秀農業產業互聯網數位化服務商入池，引導新型農業經營主體和中小型企業等加入農業產業互聯網。打造種業、生豬、稻米、水產、茶葉、蔬菜、水果、中藥材等8個農業細分行業產業互聯網。（責任單位：省農業農村廳，配合單位：省供銷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4．推進製造業數位化網路化智能化綠色化改造。在電子、機械、汽車、船舶、冶金、建材、化工、輕工、紡織、醫藥、節能環保等重點行業領域，支持企業加快生產線全線、系統改造，推動智能製造單元、智能產線、數位化車間、智能工廠建設，推進全要素、全環節的動態感知、互聯互通、數據集成和智能管控，實現減人節能、提質增效。每年實施億元以上重點技術改造專案1200項，培育技術改造示範線100條以上，推廣應用工業機器人8000臺以上，新增省級數位化車間和智能工廠200家以上、省級綠色工廠60家、國家級綠色工廠20家左右、綠色設計產品50個左右。通過規模以上工業企業技術改造全覆蓋，推動製造業全員勞動生產率達到長三角平均水準，全省規模以上工業單位增加值能耗每年下降3.2%左右，規模以上工業畝均稅收年增長10%以上，製造業投資年均增長10%，製造業利潤率提升到6%以上。（責任單位：省經濟和資訊化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5．推動服務業數位化轉型。深入實施農村電商高質量發展三年行動，發展壯大農村電商，引入和培育農村產品年網路銷售額超1000萬元農村電商企業200家以上，培育年網路銷售額超1億元的電商強鎮20個、年網路銷售額超1億元的縣域電商特色產業園區（街）20個。到2024年，全省網路零售額達3300億元，其中農村產品網路銷售額達1350億元。（責任單位：省商務廳，配合單位：省農業農村廳）大力發展跨境電子商務，培育壯大一批跨境電商龍頭企業、海外倉領軍企業和優秀產業園區，跨境電商交易額達到400億元。（責任單位：省商務廳）大力發展數字創意產業，推進安徽國家數字出版基地（合肥園區、蕪湖園區）建設。（責任單位：省文化和旅遊廳，配合單位：省委宣傳部）積極發展智慧街區、智慧商店和智慧餐廳，打造沉浸式、體驗式、互動式消費場景。鼓勵傳統商貿企業加快線上轉型，推廣無接觸式交易、中央廚房+線下配送等新模式。（責任單位：省商務廳，配合單位：省市場監管局）組織參與商務部“雙品網購節”，辦好安徽省網商大會、好網貨大賽等活動，推進電商直播創新中心建設。（責任單位：省商務廳）有序發展線上教育、互聯網醫療、智慧旅遊等，進一步支持依託互聯網的外賣配送、網約車、即時遞送、住宿共用等新業態發展。（責任單位：省發展改革委，配合單位：省教育廳、省衛生健康委、省交通運輸廳、省文化和旅遊廳、省商務廳、省數據資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6．推動工業互聯網平臺建設及應用。以工業互聯網構建全要素、全產業鏈、全價值鏈等全面連接的新型工業生產製造和服務體系。推動有條件的企業建設工業互聯網平臺，培育3家以上在國內具有較強影響力的跨行業跨領域綜合型工業互聯網平臺，22家以上行業型、專業型、區域型工業互聯網平臺，100傢俱有行業示範效應的企業級工業互聯網平臺。每年培育100個優秀工業APP，遴選20個優秀工業互聯網應用解決方案。實施“皖企登雲”提質擴面行動，全面推動企業研發設計、生產加工、經營管理、銷售服務等業務的數位化，每年實現6000家以上企業與雲資源深度對接。積極開展“皖企登雲你我他”沙龍、工業數字孿生大賽、工業機器人大賽、工業大數據大賽、裝備產品產需對接會等活動，幫助中小企業“上雲用數賦智”。依託國家工業互聯網大數據中心安徽省分中心，提供運行監測、產業分析等工業互聯網領域的綜合數據增值服務。（責任單位：省經濟和資訊化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7．基於工業互聯網開展模式創新。宣傳推廣我省工業互聯網創新“12模式”，廣泛引導企業發展數位化管理、平臺化設計、智能化製造、網路化協同、個性化定制、服務化延伸等新模式新業態，加速製造業邁向萬物互聯、數據驅動、軟體定義、平臺支撐、智能主導的新階段。依託“羚羊”等工業互聯網平臺，重點打造安徽省產學研綜合創新平臺體系，科研供需直接對接，促進高校和科研院所先進適用的科技成果轉化，每年開展線上、線下產學研對接活動100次以上，形成交易額100億元以上，實現產學研資源更廣範圍、更高效率、更加精准的優化配置。面向區域產業特色，建設10個省級工業互聯網創新服務載體。每年分行業、分領域、分批次發佈100個工業互聯網應用場景，鼓勵技術產品服務商“揭榜掛帥”，以精准的需求側場景，吸引供給能力集聚，形成供需之間的動態平衡與合作對接。（責任單位：省經濟和資訊化廳，配合單位：省科技廳、省教育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（三）數字產業能級提升行動。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8．強化產業基礎。圍繞核心基礎零部件（元器件）、關鍵基礎材料、先進基礎工藝和工業軟體、產業技術基礎，聚焦、挖掘我省具有一定基礎和比較優勢的產業、企業、產品和技術，每年滾動實施工業強基專案100項。加快發展自主可控三維工藝設計仿真、工業設備線上監測、機器聲紋診斷、智能語義理解、智能語音識別、智能語音合成、智能感測器等軟硬體，培育省級“工業軟體應用示範企業”100戶。編制“三首”產品研製需求清單，引導企業對標研製，每年培育首臺套重大技術裝備200個、首批次新材料40個、首版次軟體100個左右。（責任單位：省經濟和資訊化廳，配合單位：省發展改革委、省科技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9．推動產業鏈升級。推進新一代資訊技術、人工智慧等數字產業重點領域補鏈延鏈固鏈強鏈，實施“鏈長制”“群長制”，構建“龍頭企業+配套企業”生態圈，常態化開展省內龍頭與配套企業對接活動，強化關鍵技術、材料、零部件、整機的全鏈條培育，形成具有產業鏈控制力的技術和產品。（責任單位：省發展改革委，配合單位：省科技廳、省經濟和資訊化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10．大力發展電子資訊製造業。圍繞新型顯示、積體電路、整機終端等重點領域，加強技術研發、產品製造、應用部署等環節的統籌銜接，加快形成產業鏈聯動機制，重點強化積體電路設計、軟體開發、系統集成、內容與服務系統創新，引導晶片設計企業與整機製造企業協同開發。持續增強晶片製造、封裝測試及本土配套能力。到2024年，全省電子資訊製造業營業收入總量力爭突破6000億元，年營業收入過百億元企業達到10家以上。（責任單位：省發展改革委、省經濟和資訊化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11．加快發展軟體和資訊服務業。引進一批中國軟體百強、國家規劃佈局內重點軟體企業等知名企業。按照“雙創團隊—小微企業—專精特新企業”路徑，培育一批具有爆發式成長潛力的專精特新軟體企業。大力推進軟體名城名園建設，支持合肥爭創中國軟體特色名城、中國軟體名園。支持各市結合自身產業基礎和發展特色，實施“一市一園”建設行動。支持合肥、蕪湖、宿州、淮南等有條件的市，重點培育一批特色鮮明、融合應用成效顯著的大數據產業園區。到2024年，培育認定1500家以上大數據企業，軟體和資訊服務業主營業務收入達2500億元。（責任單位：省經濟和資訊化廳，配合單位：省發展改革委、省科技廳、省數據資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12．支持數字產業集群發展。支持中國聲穀、科大矽谷等發展壯大。中國聲穀營業收入力爭超過3500億元，入園企業2000戶。（責任單位：省經濟和資訊化廳，配合單位：省發展改革委、省科技廳）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（四）數字基礎設施建設行動。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13．建設泛在高速網路體系。加快建成合肥國家級互聯網骨幹直聯點。推進城鎮地區高速光纖網路全覆蓋，支持各地打造智能雙千兆寬頻示範城市，實現城市、鄉鎮及重點行政村千兆光纖網路普遍覆蓋，具備覆蓋1200萬戶家庭的能力，10G—PON及以上端口超過30萬個，千兆寬頻用戶超過400萬戶。（責任單位：省通信管理局）統籌推進全省骨幹網、城域網、接入網IPv6升級，開展互聯網數據中心、政務雲平臺與社會化雲平臺IPv6改造，推廣全面支持IPv6的移動和固定終端。（責任單位：省委網信辦，配合單位：省發展改革委、省通信管理局、省數據資源局）加快政務外網升級，加快推進非涉密專網向電子政務外網整合遷移。統籌管理全省各級政務雲，接入各類異構行業雲資源，通過雲管平臺實現統一納管、統一監控、合理調配。（責任單位：省數據資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14．優化5G網路覆蓋。推進5G網路深度覆蓋和應用推廣，累計建成5G基站12萬個，力爭每萬人擁有5G基站超過19個，在安徽創新館、合肥駱崗生態公園等重大專案上打造一批網路樣板工程。推動5G選址、用電、免費開放公共資源等相關支持政策落地，實現鄉鎮級以上區域和重點行政村5G網路覆蓋。（責任單位：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15．部署新型智能化計算設施。加快全國一體化算力網路長三角國家樞紐節點蕪湖數據中心集群建設，優化數據中心建設佈局，確保新建大型、超大型數據中心PUE值小於1.25。推進合肥先進計算中心二期建設，推動各類計算資源向社會開放。統籌推進邊緣計算資源池節點規劃佈局。（責任單位：省數據資源局，配合單位：省發展改革委、省科技廳、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16．提升安全保障服務水準。擴大安徽省級工業互聯網安全態勢感知平臺覆蓋範圍，提升全省工業互聯網安全監測和預警能力，完善安全監測、預警、處置、評估體系。建立威脅資訊的聯防聯控機制，提升工業互聯網網路安全防護能力。推動100家企業實施工業互聯網網路安全分類分級管理，督促企業完善網路安全管理體系。（責任單位：省通信管理局，配合單位：省經濟和資訊化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（五）數據價值提升行動。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17．強化高質量數據要素供給。強化數據資源彙聚，實現政務數據資源生產、沉澱、治理一體化。打通安徽省大數據平臺與數源部門治理異常數據回流通道，實現數據治理閉環。加快醫療、教育、交通、金融等行業數據歸集共用、融合應用創新。推動數據資源標準體系建設，圍繞數據全生命週期管理建立健全標準規範。（責任單位：省數據資源局，配合單位：省教育廳、省衛生健康委、省交通運輸廳、省地方金融監管局、人行合肥中心支行、安徽銀保監局、安徽證監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18．探索政府數據授權運營。建立健全政務數據運營規則，在依法合規、安全可控前提下，開展以覆蓋成本為原則的政務數據授權運營試點。探索公共數據資產化管理，鼓勵第三方深化對公共數據的挖掘利用。爭取政府數據授權運營國家試點，積極探索可複製、可推廣的政府數據授權運營安徽模式。（責任單位：省數據資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19．加快數據要素市場化交易流通。構建高標準數據要素市場體系，建立健全數據要素市場制度，規範數據交易行為，探索數據確權、評估、定價、交易、安全等機制。探索數據入股、質押融資，推進數據要素資源化、資產化、資本化。發揮數字安徽公司作用，高標準建設省大數據交易服務機構，積極爭取數據要素市場化配置國家級試點示範。依託“基於數據確權的數據要素流通交易系統”國家試點示範專案，探索數據所有權、數據使用權、數據收益權分離的數據確權模式，健全基礎性制度規範，培育數據公證、數據審計、數據仲裁等專業仲介機構。（責任單位：省數據資源局，配合單位：省地方金融監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（一）加強統籌協調和組織實施。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發揮省“數字安徽”建設領導小組數字經濟專項組統籌協調作用，堅持頂格推進重點工作，頂格協調解決重大問題，務實推進行動方案的貫徹實施。健全數字經濟發展成效評價體系，加強對“四化”改造、工業互聯網創新發展等數字經濟重點工作的評價。各地區、各部門要結合本地區、本行業實際，健全工作推進協調機制，增強發展數字經濟本領，推動數字經濟更好服務和融入新發展格局。（責任單位：省經濟和資訊化廳，配合單位：省有關單位、各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（二）加大資金支持力度。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統籌利用發展改革、科技、經濟和資訊化等政策資金，支持數字經濟專案建設。按照市場的邏輯，利用資本的力量，充分發揮各類基金的作用，促進數字經濟發展壯大。</w:t>
      </w:r>
      <w:r>
        <w:rPr>
          <w:rFonts w:hint="eastAsia" w:ascii="宋体" w:hAnsi="宋体" w:eastAsia="宋体" w:cs="宋体"/>
          <w:i w:val="0"/>
          <w:iCs w:val="0"/>
          <w:caps w:val="0"/>
          <w:color w:val="FF4C41"/>
          <w:spacing w:val="30"/>
          <w:sz w:val="30"/>
          <w:szCs w:val="30"/>
          <w:bdr w:val="none" w:color="auto" w:sz="0" w:space="0"/>
          <w:shd w:val="clear" w:fill="FFFFFF"/>
          <w:vertAlign w:val="baseline"/>
        </w:rPr>
        <w:t>鼓勵引導社會資本設立市場化運作的數字經濟細分領域基金，支持符合條件的數字經濟企業進入多層次資本市場進行融資，推動有實力的企業上市</w:t>
      </w:r>
      <w:r>
        <w:rPr>
          <w:rFonts w:hint="eastAsia" w:ascii="宋体" w:hAnsi="宋体" w:eastAsia="宋体" w:cs="宋体"/>
          <w:i w:val="0"/>
          <w:iCs w:val="0"/>
          <w:caps w:val="0"/>
          <w:color w:val="323232"/>
          <w:spacing w:val="30"/>
          <w:sz w:val="30"/>
          <w:szCs w:val="30"/>
          <w:bdr w:val="none" w:color="auto" w:sz="0" w:space="0"/>
          <w:shd w:val="clear" w:fill="FFFFFF"/>
          <w:vertAlign w:val="baseline"/>
        </w:rPr>
        <w:t>。</w:t>
      </w:r>
      <w:r>
        <w:rPr>
          <w:rFonts w:hint="eastAsia" w:ascii="宋体" w:hAnsi="宋体" w:eastAsia="宋体" w:cs="宋体"/>
          <w:i w:val="0"/>
          <w:iCs w:val="0"/>
          <w:caps w:val="0"/>
          <w:color w:val="FF4C41"/>
          <w:spacing w:val="30"/>
          <w:sz w:val="30"/>
          <w:szCs w:val="30"/>
          <w:bdr w:val="none" w:color="auto" w:sz="0" w:space="0"/>
          <w:shd w:val="clear" w:fill="FFFFFF"/>
          <w:vertAlign w:val="baseline"/>
        </w:rPr>
        <w:t>鼓勵銀行業金融機構創新產品和服務，加大對數字經濟核心產業的支持力度。</w:t>
      </w:r>
      <w:r>
        <w:rPr>
          <w:rFonts w:hint="eastAsia" w:ascii="宋体" w:hAnsi="宋体" w:eastAsia="宋体" w:cs="宋体"/>
          <w:i w:val="0"/>
          <w:iCs w:val="0"/>
          <w:caps w:val="0"/>
          <w:color w:val="323232"/>
          <w:spacing w:val="30"/>
          <w:sz w:val="30"/>
          <w:szCs w:val="30"/>
          <w:bdr w:val="none" w:color="auto" w:sz="0" w:space="0"/>
          <w:shd w:val="clear" w:fill="FFFFFF"/>
          <w:vertAlign w:val="baseline"/>
        </w:rPr>
        <w:t>（責任單位：省財政廳，配合單位：省發展改革委、省科技廳、省經濟和資訊化廳、省地方金融監管局、省數據資源局）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（三）大力開展“雙招雙引”。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清單化引進數字經濟細分領域龍頭企業，高質量建設數字經濟相關園區，培育產業群體，壯大特色集群，厚植發展土壤。積極吸引國內知名數字經濟研究機構、優秀服務商來皖落地、合作，引入一批數字經濟領域的高端人才。建立委託招商機制，發揮數字經濟龍頭企業、行業商協會、研究機構等作用，開展委託招商工作。（責任單位：省新興產業聚集地執行小組辦公室，配合單位：十大新興產業推進組工作專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（四）全面提升數字素養。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支持高等學校、職業院校加強數字經濟相關學科專業建設。鼓勵企業與高校、科研院所共建實驗室、研究中心和實訓基地。每年組織開展面向1萬名專業技術人才和企業高級管理人員的工業互聯網素質提升培訓。（責任單位：省教育廳、省人力資源社會保障廳，配合單位：省經濟和資訊化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（五）全面開放交流合作。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推動數字長三角共建，發揮一市三省在數字經濟領域的各自優勢，協同推進國家數字經濟創新發展試驗區、新一代人工智慧創新發展試驗區、工業互聯網一體化發展示範區、車聯網先導區、積體電路芯火雙創平臺等國家級平臺建設。推進市場化、開放型展會平臺建設，提升世界製造業大會、“1024”開發者節影響力。發揮行業協會、組織作用，加強數字經濟領域交流合作、供需對接，促進新技術、新產業、新業態、新模式專案落地。（責任單位：省發展改革委、省經濟和資訊化廳，配合單位：省委網信辦、省科技廳、省數據資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抄送：省委各部門，省人大常委會辦公廳，省政協辦公廳，省監委，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省高院，省檢察院，省軍區。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textAlignment w:val="baseline"/>
        <w:rPr>
          <w:rFonts w:hint="eastAsia" w:ascii="微软雅黑" w:hAnsi="微软雅黑" w:eastAsia="微软雅黑" w:cs="微软雅黑"/>
          <w:i w:val="0"/>
          <w:iCs w:val="0"/>
          <w:caps w:val="0"/>
          <w:color w:val="323232"/>
          <w:spacing w:val="30"/>
          <w:sz w:val="22"/>
          <w:szCs w:val="22"/>
        </w:rPr>
      </w:pPr>
      <w:r>
        <w:rPr>
          <w:rFonts w:hint="eastAsia" w:ascii="宋体" w:hAnsi="宋体" w:eastAsia="宋体" w:cs="宋体"/>
          <w:i w:val="0"/>
          <w:iCs w:val="0"/>
          <w:caps w:val="0"/>
          <w:color w:val="323232"/>
          <w:spacing w:val="30"/>
          <w:sz w:val="30"/>
          <w:szCs w:val="30"/>
          <w:bdr w:val="none" w:color="auto" w:sz="0" w:space="0"/>
          <w:shd w:val="clear" w:fill="FFFFFF"/>
          <w:vertAlign w:val="baseline"/>
        </w:rPr>
        <w:t>各民主黨派省委，省工商聯，各人民團體，中央駐皖各單位。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696E65A6"/>
    <w:rsid w:val="696E65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2022-09-14T01:24:00Z</dcterms:created>
  <dc:creator>周强</dc:creator>
  <cp:lastModifiedBy>周强</cp:lastModifiedBy>
  <dcterms:modified xsi:type="dcterms:W3CDTF">2022-09-14T01:27:42Z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35B41D07150F47DF80FA11414536C285</vt:lpwstr>
  </property>
</Properties>
</file>