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宋体" w:eastAsia="黑体" w:cs="宋体"/>
          <w:bCs/>
          <w:kern w:val="0"/>
          <w:sz w:val="72"/>
          <w:szCs w:val="72"/>
        </w:rPr>
      </w:pPr>
      <w:bookmarkStart w:id="507" w:name="_GoBack"/>
      <w:bookmarkEnd w:id="507"/>
    </w:p>
    <w:p>
      <w:pPr>
        <w:widowControl/>
        <w:rPr>
          <w:rFonts w:ascii="黑体" w:hAnsi="宋体" w:eastAsia="黑体" w:cs="宋体"/>
          <w:bCs/>
          <w:kern w:val="0"/>
          <w:sz w:val="72"/>
          <w:szCs w:val="72"/>
        </w:rPr>
      </w:pPr>
    </w:p>
    <w:p>
      <w:pPr>
        <w:widowControl/>
        <w:jc w:val="center"/>
        <w:rPr>
          <w:rFonts w:ascii="黑体" w:hAnsi="宋体" w:eastAsia="黑体" w:cs="宋体"/>
          <w:bCs/>
          <w:kern w:val="0"/>
          <w:sz w:val="72"/>
          <w:szCs w:val="72"/>
        </w:rPr>
      </w:pPr>
      <w:r>
        <w:rPr>
          <w:rFonts w:hint="eastAsia" w:ascii="黑体" w:hAnsi="宋体" w:eastAsia="宋体" w:cs="宋体"/>
          <w:bCs/>
          <w:kern w:val="0"/>
          <w:sz w:val="72"/>
          <w:szCs w:val="72"/>
        </w:rPr>
        <w:t>證券公司股票</w:t>
      </w:r>
      <w:r>
        <w:rPr>
          <w:rFonts w:ascii="黑体" w:hAnsi="宋体" w:eastAsia="宋体" w:cs="宋体"/>
          <w:bCs/>
          <w:kern w:val="0"/>
          <w:sz w:val="72"/>
          <w:szCs w:val="72"/>
        </w:rPr>
        <w:t>期權</w:t>
      </w:r>
    </w:p>
    <w:p>
      <w:pPr>
        <w:widowControl/>
        <w:jc w:val="center"/>
        <w:rPr>
          <w:rFonts w:ascii="黑体" w:hAnsi="宋体" w:eastAsia="黑体" w:cs="宋体"/>
          <w:bCs/>
          <w:kern w:val="0"/>
          <w:sz w:val="72"/>
          <w:szCs w:val="72"/>
        </w:rPr>
      </w:pPr>
      <w:r>
        <w:rPr>
          <w:rFonts w:hint="eastAsia" w:ascii="黑体" w:hAnsi="宋体" w:eastAsia="宋体" w:cs="宋体"/>
          <w:bCs/>
          <w:kern w:val="0"/>
          <w:sz w:val="72"/>
          <w:szCs w:val="72"/>
        </w:rPr>
        <w:t>經紀業務</w:t>
      </w:r>
      <w:r>
        <w:rPr>
          <w:rFonts w:ascii="黑体" w:hAnsi="宋体" w:eastAsia="宋体" w:cs="宋体"/>
          <w:bCs/>
          <w:kern w:val="0"/>
          <w:sz w:val="72"/>
          <w:szCs w:val="72"/>
        </w:rPr>
        <w:t>指南</w:t>
      </w:r>
    </w:p>
    <w:p>
      <w:pPr>
        <w:widowControl/>
        <w:jc w:val="center"/>
        <w:rPr>
          <w:rFonts w:ascii="仿宋_GB2312" w:hAnsi="仿宋" w:eastAsia="仿宋_GB2312"/>
          <w:sz w:val="30"/>
          <w:szCs w:val="30"/>
        </w:rPr>
      </w:pPr>
      <w:r>
        <w:rPr>
          <w:rFonts w:hint="eastAsia" w:ascii="仿宋_GB2312" w:hAnsi="仿宋" w:eastAsia="宋体"/>
          <w:sz w:val="30"/>
          <w:szCs w:val="30"/>
        </w:rPr>
        <w:t>（2020年修訂）</w:t>
      </w:r>
    </w:p>
    <w:p>
      <w:pPr>
        <w:widowControl/>
        <w:jc w:val="center"/>
        <w:rPr>
          <w:rFonts w:ascii="黑体" w:hAnsi="宋体" w:eastAsia="黑体" w:cs="宋体"/>
          <w:bCs/>
          <w:kern w:val="0"/>
          <w:sz w:val="72"/>
          <w:szCs w:val="72"/>
        </w:rPr>
      </w:pPr>
    </w:p>
    <w:p>
      <w:pPr>
        <w:widowControl/>
        <w:jc w:val="center"/>
        <w:rPr>
          <w:rFonts w:ascii="黑体" w:hAnsi="宋体" w:eastAsia="黑体" w:cs="宋体"/>
          <w:bCs/>
          <w:kern w:val="0"/>
          <w:sz w:val="40"/>
          <w:szCs w:val="72"/>
        </w:rPr>
      </w:pPr>
    </w:p>
    <w:p>
      <w:pPr>
        <w:widowControl/>
        <w:rPr>
          <w:rFonts w:ascii="宋体" w:hAnsi="宋体"/>
          <w:b/>
          <w:sz w:val="72"/>
          <w:szCs w:val="72"/>
        </w:rPr>
      </w:pPr>
    </w:p>
    <w:p>
      <w:pPr>
        <w:widowControl/>
        <w:rPr>
          <w:rFonts w:ascii="宋体" w:hAnsi="宋体"/>
          <w:b/>
          <w:sz w:val="72"/>
          <w:szCs w:val="72"/>
        </w:rPr>
      </w:pPr>
    </w:p>
    <w:p>
      <w:pPr>
        <w:widowControl/>
        <w:rPr>
          <w:rFonts w:ascii="宋体" w:hAnsi="宋体"/>
          <w:b/>
          <w:sz w:val="72"/>
          <w:szCs w:val="72"/>
        </w:rPr>
      </w:pPr>
    </w:p>
    <w:p>
      <w:pPr>
        <w:widowControl/>
        <w:spacing w:line="408" w:lineRule="auto"/>
        <w:jc w:val="center"/>
        <w:rPr>
          <w:rFonts w:ascii="宋体" w:hAnsi="宋体" w:cs="宋体"/>
          <w:b/>
          <w:kern w:val="0"/>
          <w:sz w:val="32"/>
          <w:szCs w:val="32"/>
        </w:rPr>
      </w:pPr>
      <w:r>
        <w:rPr>
          <w:rFonts w:hint="eastAsia" w:ascii="宋体" w:hAnsi="宋体" w:eastAsia="宋体" w:cs="宋体"/>
          <w:b/>
          <w:kern w:val="0"/>
          <w:sz w:val="32"/>
          <w:szCs w:val="32"/>
        </w:rPr>
        <w:t>上海證券交易所</w:t>
      </w:r>
    </w:p>
    <w:p>
      <w:pPr>
        <w:widowControl/>
        <w:spacing w:line="408" w:lineRule="auto"/>
        <w:jc w:val="center"/>
        <w:rPr>
          <w:rFonts w:ascii="宋体" w:hAnsi="宋体" w:cs="宋体"/>
          <w:b/>
          <w:kern w:val="0"/>
          <w:sz w:val="32"/>
          <w:szCs w:val="32"/>
        </w:rPr>
      </w:pPr>
      <w:r>
        <w:rPr>
          <w:rFonts w:ascii="宋体" w:hAnsi="宋体" w:eastAsia="宋体" w:cs="宋体"/>
          <w:b/>
          <w:kern w:val="0"/>
          <w:sz w:val="32"/>
          <w:szCs w:val="32"/>
        </w:rPr>
        <w:t>20</w:t>
      </w:r>
      <w:r>
        <w:rPr>
          <w:rFonts w:hint="eastAsia" w:ascii="宋体" w:hAnsi="宋体" w:eastAsia="宋体" w:cs="宋体"/>
          <w:b/>
          <w:kern w:val="0"/>
          <w:sz w:val="32"/>
          <w:szCs w:val="32"/>
        </w:rPr>
        <w:t>20</w:t>
      </w:r>
      <w:r>
        <w:rPr>
          <w:rFonts w:ascii="宋体" w:hAnsi="宋体" w:eastAsia="宋体" w:cs="宋体"/>
          <w:b/>
          <w:kern w:val="0"/>
          <w:sz w:val="32"/>
          <w:szCs w:val="32"/>
        </w:rPr>
        <w:t>年</w:t>
      </w:r>
      <w:r>
        <w:rPr>
          <w:rFonts w:hint="eastAsia" w:ascii="宋体" w:hAnsi="宋体" w:eastAsia="宋体" w:cs="宋体"/>
          <w:b/>
          <w:kern w:val="0"/>
          <w:sz w:val="32"/>
          <w:szCs w:val="32"/>
        </w:rPr>
        <w:t>8月14日</w:t>
      </w:r>
    </w:p>
    <w:p>
      <w:pPr>
        <w:spacing w:before="120" w:after="120"/>
        <w:rPr>
          <w:rFonts w:eastAsia="仿宋"/>
          <w:b/>
          <w:kern w:val="44"/>
          <w:sz w:val="52"/>
          <w:szCs w:val="52"/>
        </w:rPr>
      </w:pPr>
    </w:p>
    <w:p>
      <w:pPr>
        <w:jc w:val="center"/>
        <w:rPr>
          <w:rFonts w:ascii="仿宋" w:hAnsi="仿宋" w:eastAsia="仿宋"/>
          <w:b/>
          <w:sz w:val="52"/>
          <w:szCs w:val="52"/>
        </w:rPr>
      </w:pPr>
    </w:p>
    <w:p>
      <w:pPr>
        <w:jc w:val="center"/>
        <w:rPr>
          <w:rFonts w:ascii="仿宋" w:hAnsi="仿宋" w:eastAsia="仿宋"/>
          <w:b/>
          <w:sz w:val="52"/>
          <w:szCs w:val="52"/>
        </w:rPr>
      </w:pPr>
    </w:p>
    <w:p>
      <w:pPr>
        <w:widowControl/>
        <w:jc w:val="left"/>
        <w:rPr>
          <w:rFonts w:ascii="黑体" w:hAnsi="黑体" w:eastAsia="黑体"/>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pPr>
        <w:widowControl/>
        <w:tabs>
          <w:tab w:val="right" w:leader="dot" w:pos="8296"/>
        </w:tabs>
        <w:spacing w:line="276" w:lineRule="auto"/>
        <w:jc w:val="center"/>
        <w:rPr>
          <w:szCs w:val="21"/>
        </w:rPr>
      </w:pPr>
      <w:r>
        <w:rPr>
          <w:rFonts w:ascii="仿宋_GB2312" w:eastAsia="宋体"/>
          <w:b/>
          <w:bCs/>
          <w:sz w:val="44"/>
          <w:szCs w:val="44"/>
        </w:rPr>
        <w:t>目錄</w:t>
      </w:r>
    </w:p>
    <w:p>
      <w:pPr>
        <w:pStyle w:val="17"/>
        <w:tabs>
          <w:tab w:val="right" w:leader="dot" w:pos="8296"/>
        </w:tabs>
        <w:spacing w:line="276" w:lineRule="auto"/>
        <w:rPr>
          <w:rStyle w:val="33"/>
          <w:szCs w:val="21"/>
        </w:rPr>
      </w:pPr>
    </w:p>
    <w:p>
      <w:pPr>
        <w:pStyle w:val="17"/>
        <w:tabs>
          <w:tab w:val="right" w:leader="dot" w:pos="8296"/>
        </w:tabs>
        <w:rPr>
          <w:rFonts w:asciiTheme="minorHAnsi" w:hAnsiTheme="minorHAnsi" w:eastAsiaTheme="minorEastAsia" w:cstheme="minorBidi"/>
          <w:b/>
        </w:rPr>
      </w:pPr>
      <w:r>
        <w:fldChar w:fldCharType="begin"/>
      </w:r>
      <w:r>
        <w:rPr>
          <w:rStyle w:val="33"/>
        </w:rPr>
        <w:instrText xml:space="preserve"> TOC \o "1-3" \h \z \u </w:instrText>
      </w:r>
      <w:r>
        <w:fldChar w:fldCharType="separate"/>
      </w:r>
      <w:r>
        <w:fldChar w:fldCharType="begin"/>
      </w:r>
      <w:r>
        <w:instrText xml:space="preserve"> HYPERLINK \l "_Toc23947127" </w:instrText>
      </w:r>
      <w:r>
        <w:fldChar w:fldCharType="separate"/>
      </w:r>
      <w:r>
        <w:rPr>
          <w:rStyle w:val="33"/>
          <w:rFonts w:hint="eastAsia" w:ascii="黑体" w:hAnsi="黑体" w:eastAsia="宋体"/>
        </w:rPr>
        <w:t>證券公司股票期權經紀業務指南</w:t>
      </w:r>
      <w:r>
        <w:rPr>
          <w:b/>
        </w:rPr>
        <w:tab/>
      </w:r>
      <w:r>
        <w:rPr>
          <w:b/>
        </w:rPr>
        <w:fldChar w:fldCharType="begin"/>
      </w:r>
      <w:r>
        <w:rPr>
          <w:b/>
        </w:rPr>
        <w:instrText xml:space="preserve"> PAGEREF _Toc23947127 \h </w:instrText>
      </w:r>
      <w:r>
        <w:rPr>
          <w:b/>
        </w:rPr>
        <w:fldChar w:fldCharType="separate"/>
      </w:r>
      <w:r>
        <w:rPr>
          <w:rFonts w:eastAsia="宋体"/>
          <w:b/>
        </w:rPr>
        <w:t>3</w:t>
      </w:r>
      <w:r>
        <w:rPr>
          <w:b/>
        </w:rPr>
        <w:fldChar w:fldCharType="end"/>
      </w:r>
      <w:r>
        <w:rPr>
          <w:b/>
        </w:rPr>
        <w:fldChar w:fldCharType="end"/>
      </w:r>
    </w:p>
    <w:p>
      <w:pPr>
        <w:pStyle w:val="17"/>
        <w:tabs>
          <w:tab w:val="right" w:leader="dot" w:pos="8296"/>
        </w:tabs>
        <w:rPr>
          <w:rFonts w:asciiTheme="minorHAnsi" w:hAnsiTheme="minorHAnsi" w:eastAsiaTheme="minorEastAsia" w:cstheme="minorBidi"/>
          <w:b/>
        </w:rPr>
      </w:pPr>
      <w:r>
        <w:fldChar w:fldCharType="begin"/>
      </w:r>
      <w:r>
        <w:instrText xml:space="preserve"> HYPERLINK \l "_Toc23947128" </w:instrText>
      </w:r>
      <w:r>
        <w:fldChar w:fldCharType="separate"/>
      </w:r>
      <w:r>
        <w:rPr>
          <w:rStyle w:val="33"/>
          <w:rFonts w:hint="eastAsia" w:ascii="黑体" w:hAnsi="黑体" w:eastAsia="宋体"/>
        </w:rPr>
        <w:t>說明及聲明</w:t>
      </w:r>
      <w:r>
        <w:rPr>
          <w:b/>
        </w:rPr>
        <w:tab/>
      </w:r>
      <w:r>
        <w:rPr>
          <w:b/>
        </w:rPr>
        <w:fldChar w:fldCharType="begin"/>
      </w:r>
      <w:r>
        <w:rPr>
          <w:b/>
        </w:rPr>
        <w:instrText xml:space="preserve"> PAGEREF _Toc23947128 \h </w:instrText>
      </w:r>
      <w:r>
        <w:rPr>
          <w:b/>
        </w:rPr>
        <w:fldChar w:fldCharType="separate"/>
      </w:r>
      <w:r>
        <w:rPr>
          <w:rFonts w:eastAsia="宋体"/>
          <w:b/>
        </w:rPr>
        <w:t>3</w:t>
      </w:r>
      <w:r>
        <w:rPr>
          <w:b/>
        </w:rPr>
        <w:fldChar w:fldCharType="end"/>
      </w:r>
      <w:r>
        <w:rPr>
          <w:b/>
        </w:rPr>
        <w:fldChar w:fldCharType="end"/>
      </w:r>
    </w:p>
    <w:p>
      <w:pPr>
        <w:pStyle w:val="17"/>
        <w:tabs>
          <w:tab w:val="right" w:leader="dot" w:pos="8296"/>
        </w:tabs>
        <w:rPr>
          <w:rFonts w:asciiTheme="minorHAnsi" w:hAnsiTheme="minorHAnsi" w:eastAsiaTheme="minorEastAsia" w:cstheme="minorBidi"/>
          <w:b/>
        </w:rPr>
      </w:pPr>
      <w:r>
        <w:fldChar w:fldCharType="begin"/>
      </w:r>
      <w:r>
        <w:instrText xml:space="preserve"> HYPERLINK \l "_Toc23947129" </w:instrText>
      </w:r>
      <w:r>
        <w:fldChar w:fldCharType="separate"/>
      </w:r>
      <w:r>
        <w:rPr>
          <w:rStyle w:val="33"/>
          <w:rFonts w:hint="eastAsia" w:ascii="黑体" w:hAnsi="黑体" w:eastAsia="宋体"/>
        </w:rPr>
        <w:t>第一章</w:t>
      </w:r>
      <w:r>
        <w:rPr>
          <w:rStyle w:val="33"/>
          <w:rFonts w:ascii="黑体" w:hAnsi="黑体" w:eastAsia="宋体"/>
        </w:rPr>
        <w:t xml:space="preserve"> </w:t>
      </w:r>
      <w:r>
        <w:rPr>
          <w:rStyle w:val="33"/>
          <w:rFonts w:hint="eastAsia" w:ascii="黑体" w:hAnsi="黑体" w:eastAsia="宋体"/>
        </w:rPr>
        <w:t>總體要求</w:t>
      </w:r>
      <w:r>
        <w:rPr>
          <w:b/>
        </w:rPr>
        <w:tab/>
      </w:r>
      <w:r>
        <w:rPr>
          <w:b/>
        </w:rPr>
        <w:fldChar w:fldCharType="begin"/>
      </w:r>
      <w:r>
        <w:rPr>
          <w:b/>
        </w:rPr>
        <w:instrText xml:space="preserve"> PAGEREF _Toc23947129 \h </w:instrText>
      </w:r>
      <w:r>
        <w:rPr>
          <w:b/>
        </w:rPr>
        <w:fldChar w:fldCharType="separate"/>
      </w:r>
      <w:r>
        <w:rPr>
          <w:rFonts w:eastAsia="宋体"/>
          <w:b/>
        </w:rPr>
        <w:t>3</w:t>
      </w:r>
      <w:r>
        <w:rPr>
          <w:b/>
        </w:rPr>
        <w:fldChar w:fldCharType="end"/>
      </w:r>
      <w:r>
        <w:rPr>
          <w:b/>
        </w:rPr>
        <w:fldChar w:fldCharType="end"/>
      </w:r>
    </w:p>
    <w:p>
      <w:pPr>
        <w:pStyle w:val="17"/>
        <w:tabs>
          <w:tab w:val="right" w:leader="dot" w:pos="8296"/>
        </w:tabs>
        <w:rPr>
          <w:rStyle w:val="33"/>
        </w:rPr>
      </w:pPr>
      <w:r>
        <w:fldChar w:fldCharType="begin"/>
      </w:r>
      <w:r>
        <w:instrText xml:space="preserve"> HYPERLINK \l "_Toc23947130" </w:instrText>
      </w:r>
      <w:r>
        <w:fldChar w:fldCharType="separate"/>
      </w:r>
      <w:r>
        <w:rPr>
          <w:rStyle w:val="33"/>
          <w:rFonts w:hint="eastAsia" w:eastAsia="宋体"/>
        </w:rPr>
        <w:t>一、組織架構和職責分工</w:t>
      </w:r>
      <w:r>
        <w:rPr>
          <w:rStyle w:val="33"/>
        </w:rPr>
        <w:tab/>
      </w:r>
      <w:r>
        <w:rPr>
          <w:rStyle w:val="33"/>
        </w:rPr>
        <w:fldChar w:fldCharType="begin"/>
      </w:r>
      <w:r>
        <w:rPr>
          <w:rStyle w:val="33"/>
        </w:rPr>
        <w:instrText xml:space="preserve"> PAGEREF _Toc23947130 \h </w:instrText>
      </w:r>
      <w:r>
        <w:rPr>
          <w:rStyle w:val="33"/>
        </w:rPr>
        <w:fldChar w:fldCharType="separate"/>
      </w:r>
      <w:r>
        <w:rPr>
          <w:rStyle w:val="33"/>
          <w:rFonts w:eastAsia="宋体"/>
        </w:rPr>
        <w:t>4</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"_Toc23947131" </w:instrText>
      </w:r>
      <w:r>
        <w:fldChar w:fldCharType="separate"/>
      </w:r>
      <w:r>
        <w:rPr>
          <w:rStyle w:val="33"/>
          <w:rFonts w:hint="eastAsia" w:eastAsia="宋体"/>
        </w:rPr>
        <w:t>二、崗位設置</w:t>
      </w:r>
      <w:r>
        <w:rPr>
          <w:rStyle w:val="33"/>
        </w:rPr>
        <w:tab/>
      </w:r>
      <w:r>
        <w:rPr>
          <w:rStyle w:val="33"/>
        </w:rPr>
        <w:fldChar w:fldCharType="begin"/>
      </w:r>
      <w:r>
        <w:rPr>
          <w:rStyle w:val="33"/>
        </w:rPr>
        <w:instrText xml:space="preserve"> PAGEREF _Toc23947131 \h </w:instrText>
      </w:r>
      <w:r>
        <w:rPr>
          <w:rStyle w:val="33"/>
        </w:rPr>
        <w:fldChar w:fldCharType="separate"/>
      </w:r>
      <w:r>
        <w:rPr>
          <w:rStyle w:val="33"/>
          <w:rFonts w:eastAsia="宋体"/>
        </w:rPr>
        <w:t>4</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"_Toc23947132" </w:instrText>
      </w:r>
      <w:r>
        <w:fldChar w:fldCharType="separate"/>
      </w:r>
      <w:r>
        <w:rPr>
          <w:rStyle w:val="33"/>
          <w:rFonts w:hint="eastAsia" w:eastAsia="宋体"/>
        </w:rPr>
        <w:t>三、制度與流程</w:t>
      </w:r>
      <w:r>
        <w:rPr>
          <w:rStyle w:val="33"/>
        </w:rPr>
        <w:tab/>
      </w:r>
      <w:r>
        <w:rPr>
          <w:rStyle w:val="33"/>
        </w:rPr>
        <w:fldChar w:fldCharType="begin"/>
      </w:r>
      <w:r>
        <w:rPr>
          <w:rStyle w:val="33"/>
        </w:rPr>
        <w:instrText xml:space="preserve"> PAGEREF _Toc23947132 \h </w:instrText>
      </w:r>
      <w:r>
        <w:rPr>
          <w:rStyle w:val="33"/>
        </w:rPr>
        <w:fldChar w:fldCharType="separate"/>
      </w:r>
      <w:r>
        <w:rPr>
          <w:rStyle w:val="33"/>
          <w:rFonts w:eastAsia="宋体"/>
        </w:rPr>
        <w:t>6</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"_Toc23947133" </w:instrText>
      </w:r>
      <w:r>
        <w:fldChar w:fldCharType="separate"/>
      </w:r>
      <w:r>
        <w:rPr>
          <w:rStyle w:val="33"/>
          <w:rFonts w:hint="eastAsia" w:eastAsia="宋体"/>
        </w:rPr>
        <w:t>四、內控管理</w:t>
      </w:r>
      <w:r>
        <w:rPr>
          <w:rStyle w:val="33"/>
        </w:rPr>
        <w:tab/>
      </w:r>
      <w:r>
        <w:rPr>
          <w:rStyle w:val="33"/>
        </w:rPr>
        <w:fldChar w:fldCharType="begin"/>
      </w:r>
      <w:r>
        <w:rPr>
          <w:rStyle w:val="33"/>
        </w:rPr>
        <w:instrText xml:space="preserve"> PAGEREF _Toc23947133 \h </w:instrText>
      </w:r>
      <w:r>
        <w:rPr>
          <w:rStyle w:val="33"/>
        </w:rPr>
        <w:fldChar w:fldCharType="separate"/>
      </w:r>
      <w:r>
        <w:rPr>
          <w:rStyle w:val="33"/>
          <w:rFonts w:eastAsia="宋体"/>
        </w:rPr>
        <w:t>6</w:t>
      </w:r>
      <w:r>
        <w:rPr>
          <w:rStyle w:val="33"/>
        </w:rPr>
        <w:fldChar w:fldCharType="end"/>
      </w:r>
      <w:r>
        <w:rPr>
          <w:rStyle w:val="33"/>
        </w:rPr>
        <w:fldChar w:fldCharType="end"/>
      </w:r>
    </w:p>
    <w:p>
      <w:pPr>
        <w:pStyle w:val="17"/>
        <w:tabs>
          <w:tab w:val="right" w:leader="dot" w:pos="8296"/>
        </w:tabs>
        <w:rPr>
          <w:rFonts w:asciiTheme="minorHAnsi" w:hAnsiTheme="minorHAnsi" w:eastAsiaTheme="minorEastAsia" w:cstheme="minorBidi"/>
          <w:b/>
        </w:rPr>
      </w:pPr>
      <w:r>
        <w:fldChar w:fldCharType="begin"/>
      </w:r>
      <w:r>
        <w:instrText xml:space="preserve"> HYPERLINK \l "_Toc23947134" </w:instrText>
      </w:r>
      <w:r>
        <w:fldChar w:fldCharType="separate"/>
      </w:r>
      <w:r>
        <w:rPr>
          <w:rStyle w:val="33"/>
          <w:rFonts w:hint="eastAsia" w:ascii="黑体" w:hAnsi="黑体" w:eastAsia="宋体"/>
        </w:rPr>
        <w:t>第二章</w:t>
      </w:r>
      <w:r>
        <w:rPr>
          <w:rStyle w:val="33"/>
          <w:rFonts w:ascii="黑体" w:hAnsi="黑体" w:eastAsia="宋体"/>
        </w:rPr>
        <w:t xml:space="preserve"> </w:t>
      </w:r>
      <w:r>
        <w:rPr>
          <w:rStyle w:val="33"/>
          <w:rFonts w:hint="eastAsia" w:ascii="黑体" w:hAnsi="黑体" w:eastAsia="宋体"/>
        </w:rPr>
        <w:t>股票期權經紀業務交易許可權申請</w:t>
      </w:r>
      <w:r>
        <w:rPr>
          <w:b/>
        </w:rPr>
        <w:tab/>
      </w:r>
      <w:r>
        <w:rPr>
          <w:b/>
        </w:rPr>
        <w:fldChar w:fldCharType="begin"/>
      </w:r>
      <w:r>
        <w:rPr>
          <w:b/>
        </w:rPr>
        <w:instrText xml:space="preserve"> PAGEREF _Toc23947134 \h </w:instrText>
      </w:r>
      <w:r>
        <w:rPr>
          <w:b/>
        </w:rPr>
        <w:fldChar w:fldCharType="separate"/>
      </w:r>
      <w:r>
        <w:rPr>
          <w:rFonts w:eastAsia="宋体"/>
          <w:b/>
        </w:rPr>
        <w:t>10</w:t>
      </w:r>
      <w:r>
        <w:rPr>
          <w:b/>
        </w:rPr>
        <w:fldChar w:fldCharType="end"/>
      </w:r>
      <w:r>
        <w:rPr>
          <w:b/>
        </w:rP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"_Toc23947135" </w:instrText>
      </w:r>
      <w:r>
        <w:fldChar w:fldCharType="separate"/>
      </w:r>
      <w:r>
        <w:rPr>
          <w:rStyle w:val="33"/>
          <w:rFonts w:hint="eastAsia" w:eastAsia="宋体"/>
        </w:rPr>
        <w:t>一、申請材料</w:t>
      </w:r>
      <w:r>
        <w:tab/>
      </w:r>
      <w:r>
        <w:fldChar w:fldCharType="begin"/>
      </w:r>
      <w:r>
        <w:instrText xml:space="preserve"> PAGEREF _Toc23947135 \h </w:instrText>
      </w:r>
      <w:r>
        <w:fldChar w:fldCharType="separate"/>
      </w:r>
      <w:r>
        <w:rPr>
          <w:rFonts w:eastAsia="宋体"/>
        </w:rPr>
        <w:t>10</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"_Toc23947136" </w:instrText>
      </w:r>
      <w:r>
        <w:fldChar w:fldCharType="separate"/>
      </w:r>
      <w:r>
        <w:rPr>
          <w:rStyle w:val="33"/>
          <w:rFonts w:hint="eastAsia" w:eastAsia="宋体"/>
        </w:rPr>
        <w:t>二、申請流程</w:t>
      </w:r>
      <w:r>
        <w:tab/>
      </w:r>
      <w:r>
        <w:fldChar w:fldCharType="begin"/>
      </w:r>
      <w:r>
        <w:instrText xml:space="preserve"> PAGEREF _Toc23947136 \h </w:instrText>
      </w:r>
      <w:r>
        <w:fldChar w:fldCharType="separate"/>
      </w:r>
      <w:r>
        <w:rPr>
          <w:rFonts w:eastAsia="宋体"/>
        </w:rPr>
        <w:t>11</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"_Toc23947137" </w:instrText>
      </w:r>
      <w:r>
        <w:fldChar w:fldCharType="separate"/>
      </w:r>
      <w:r>
        <w:rPr>
          <w:rStyle w:val="33"/>
          <w:rFonts w:hint="eastAsia" w:eastAsia="宋体"/>
        </w:rPr>
        <w:t>三、交易許可權開通流程</w:t>
      </w:r>
      <w:r>
        <w:tab/>
      </w:r>
      <w:r>
        <w:fldChar w:fldCharType="begin"/>
      </w:r>
      <w:r>
        <w:instrText xml:space="preserve"> PAGEREF _Toc23947137 \h </w:instrText>
      </w:r>
      <w:r>
        <w:fldChar w:fldCharType="separate"/>
      </w:r>
      <w:r>
        <w:rPr>
          <w:rFonts w:eastAsia="宋体"/>
        </w:rPr>
        <w:t>11</w:t>
      </w:r>
      <w:r>
        <w:fldChar w:fldCharType="end"/>
      </w:r>
      <w:r>
        <w:fldChar w:fldCharType="end"/>
      </w:r>
    </w:p>
    <w:p>
      <w:pPr>
        <w:pStyle w:val="17"/>
        <w:tabs>
          <w:tab w:val="right" w:leader="dot" w:pos="8296"/>
        </w:tabs>
        <w:rPr>
          <w:rFonts w:asciiTheme="minorHAnsi" w:hAnsiTheme="minorHAnsi" w:eastAsiaTheme="minorEastAsia" w:cstheme="minorBidi"/>
          <w:b/>
        </w:rPr>
      </w:pPr>
      <w:r>
        <w:fldChar w:fldCharType="begin"/>
      </w:r>
      <w:r>
        <w:instrText xml:space="preserve"> HYPERLINK \l "_Toc23947138" </w:instrText>
      </w:r>
      <w:r>
        <w:fldChar w:fldCharType="separate"/>
      </w:r>
      <w:r>
        <w:rPr>
          <w:rStyle w:val="33"/>
          <w:rFonts w:hint="eastAsia" w:ascii="黑体" w:hAnsi="黑体" w:eastAsia="宋体"/>
        </w:rPr>
        <w:t>第三章</w:t>
      </w:r>
      <w:r>
        <w:rPr>
          <w:rStyle w:val="33"/>
          <w:rFonts w:ascii="黑体" w:hAnsi="黑体" w:eastAsia="宋体"/>
        </w:rPr>
        <w:t xml:space="preserve"> </w:t>
      </w:r>
      <w:r>
        <w:rPr>
          <w:rStyle w:val="33"/>
          <w:rFonts w:hint="eastAsia" w:ascii="黑体" w:hAnsi="黑体" w:eastAsia="宋体"/>
        </w:rPr>
        <w:t>投資者適當性管理</w:t>
      </w:r>
      <w:r>
        <w:rPr>
          <w:b/>
        </w:rPr>
        <w:tab/>
      </w:r>
      <w:r>
        <w:rPr>
          <w:b/>
        </w:rPr>
        <w:fldChar w:fldCharType="begin"/>
      </w:r>
      <w:r>
        <w:rPr>
          <w:b/>
        </w:rPr>
        <w:instrText xml:space="preserve"> PAGEREF _Toc23947138 \h </w:instrText>
      </w:r>
      <w:r>
        <w:rPr>
          <w:b/>
        </w:rPr>
        <w:fldChar w:fldCharType="separate"/>
      </w:r>
      <w:r>
        <w:rPr>
          <w:rFonts w:eastAsia="宋体"/>
          <w:b/>
        </w:rPr>
        <w:t>12</w:t>
      </w:r>
      <w:r>
        <w:rPr>
          <w:b/>
        </w:rPr>
        <w:fldChar w:fldCharType="end"/>
      </w:r>
      <w:r>
        <w:rPr>
          <w:b/>
        </w:rP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"_Toc23947139" </w:instrText>
      </w:r>
      <w:r>
        <w:fldChar w:fldCharType="separate"/>
      </w:r>
      <w:r>
        <w:rPr>
          <w:rStyle w:val="33"/>
          <w:rFonts w:hint="eastAsia" w:eastAsia="宋体"/>
        </w:rPr>
        <w:t>一、投資者准入條件的認定</w:t>
      </w:r>
      <w:r>
        <w:tab/>
      </w:r>
      <w:r>
        <w:fldChar w:fldCharType="begin"/>
      </w:r>
      <w:r>
        <w:instrText xml:space="preserve"> PAGEREF _Toc23947139 \h </w:instrText>
      </w:r>
      <w:r>
        <w:fldChar w:fldCharType="separate"/>
      </w:r>
      <w:r>
        <w:rPr>
          <w:rFonts w:eastAsia="宋体"/>
        </w:rPr>
        <w:t>13</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"_Toc23947140" </w:instrText>
      </w:r>
      <w:r>
        <w:fldChar w:fldCharType="separate"/>
      </w:r>
      <w:r>
        <w:rPr>
          <w:rStyle w:val="33"/>
          <w:rFonts w:hint="eastAsia" w:eastAsia="宋体"/>
        </w:rPr>
        <w:t>二、綜合評估</w:t>
      </w:r>
      <w:r>
        <w:tab/>
      </w:r>
      <w:r>
        <w:fldChar w:fldCharType="begin"/>
      </w:r>
      <w:r>
        <w:instrText xml:space="preserve"> PAGEREF _Toc23947140 \h </w:instrText>
      </w:r>
      <w:r>
        <w:fldChar w:fldCharType="separate"/>
      </w:r>
      <w:r>
        <w:rPr>
          <w:rFonts w:eastAsia="宋体"/>
        </w:rPr>
        <w:t>16</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"_Toc23947141" </w:instrText>
      </w:r>
      <w:r>
        <w:fldChar w:fldCharType="separate"/>
      </w:r>
      <w:r>
        <w:rPr>
          <w:rStyle w:val="33"/>
          <w:rFonts w:hint="eastAsia" w:eastAsia="宋体"/>
        </w:rPr>
        <w:t>三、期權知識測試</w:t>
      </w:r>
      <w:r>
        <w:tab/>
      </w:r>
      <w:r>
        <w:fldChar w:fldCharType="begin"/>
      </w:r>
      <w:r>
        <w:instrText xml:space="preserve"> PAGEREF _Toc23947141 \h </w:instrText>
      </w:r>
      <w:r>
        <w:fldChar w:fldCharType="separate"/>
      </w:r>
      <w:r>
        <w:rPr>
          <w:rFonts w:eastAsia="宋体"/>
        </w:rPr>
        <w:t>17</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"_Toc23947142" </w:instrText>
      </w:r>
      <w:r>
        <w:fldChar w:fldCharType="separate"/>
      </w:r>
      <w:r>
        <w:rPr>
          <w:rStyle w:val="33"/>
          <w:rFonts w:hint="eastAsia" w:eastAsia="宋体"/>
        </w:rPr>
        <w:t>四、投資者分級管理</w:t>
      </w:r>
      <w:r>
        <w:tab/>
      </w:r>
      <w:r>
        <w:fldChar w:fldCharType="begin"/>
      </w:r>
      <w:r>
        <w:instrText xml:space="preserve"> PAGEREF _Toc23947142 \h </w:instrText>
      </w:r>
      <w:r>
        <w:fldChar w:fldCharType="separate"/>
      </w:r>
      <w:r>
        <w:rPr>
          <w:rFonts w:eastAsia="宋体"/>
        </w:rPr>
        <w:t>19</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"_Toc23947143" </w:instrText>
      </w:r>
      <w:r>
        <w:fldChar w:fldCharType="separate"/>
      </w:r>
      <w:r>
        <w:rPr>
          <w:rStyle w:val="33"/>
          <w:rFonts w:hint="eastAsia" w:eastAsia="宋体"/>
        </w:rPr>
        <w:t>五、投資者適當性評估的動態持續管理</w:t>
      </w:r>
      <w:r>
        <w:tab/>
      </w:r>
      <w:r>
        <w:fldChar w:fldCharType="begin"/>
      </w:r>
      <w:r>
        <w:instrText xml:space="preserve"> PAGEREF _Toc23947143 \h </w:instrText>
      </w:r>
      <w:r>
        <w:fldChar w:fldCharType="separate"/>
      </w:r>
      <w:r>
        <w:rPr>
          <w:rFonts w:eastAsia="宋体"/>
        </w:rPr>
        <w:t>20</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"_Toc23947144" </w:instrText>
      </w:r>
      <w:r>
        <w:fldChar w:fldCharType="separate"/>
      </w:r>
      <w:r>
        <w:rPr>
          <w:rStyle w:val="33"/>
          <w:rFonts w:hint="eastAsia" w:eastAsia="宋体"/>
        </w:rPr>
        <w:t>六、客戶檔案資料管理</w:t>
      </w:r>
      <w:r>
        <w:tab/>
      </w:r>
      <w:r>
        <w:fldChar w:fldCharType="begin"/>
      </w:r>
      <w:r>
        <w:instrText xml:space="preserve"> PAGEREF _Toc23947144 \h </w:instrText>
      </w:r>
      <w:r>
        <w:fldChar w:fldCharType="separate"/>
      </w:r>
      <w:r>
        <w:rPr>
          <w:rFonts w:eastAsia="宋体"/>
        </w:rPr>
        <w:t>22</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"_Toc23947145" </w:instrText>
      </w:r>
      <w:r>
        <w:fldChar w:fldCharType="separate"/>
      </w:r>
      <w:r>
        <w:rPr>
          <w:rStyle w:val="33"/>
          <w:rFonts w:hint="eastAsia" w:eastAsia="宋体"/>
        </w:rPr>
        <w:t>七、本所持續監督管理</w:t>
      </w:r>
      <w:r>
        <w:tab/>
      </w:r>
      <w:r>
        <w:fldChar w:fldCharType="begin"/>
      </w:r>
      <w:r>
        <w:instrText xml:space="preserve"> PAGEREF _Toc23947145 \h </w:instrText>
      </w:r>
      <w:r>
        <w:fldChar w:fldCharType="separate"/>
      </w:r>
      <w:r>
        <w:rPr>
          <w:rFonts w:eastAsia="宋体"/>
        </w:rPr>
        <w:t>22</w:t>
      </w:r>
      <w:r>
        <w:fldChar w:fldCharType="end"/>
      </w:r>
      <w:r>
        <w:fldChar w:fldCharType="end"/>
      </w:r>
    </w:p>
    <w:p>
      <w:pPr>
        <w:pStyle w:val="17"/>
        <w:tabs>
          <w:tab w:val="right" w:leader="dot" w:pos="8296"/>
        </w:tabs>
        <w:rPr>
          <w:rFonts w:asciiTheme="minorHAnsi" w:hAnsiTheme="minorHAnsi" w:eastAsiaTheme="minorEastAsia" w:cstheme="minorBidi"/>
          <w:b/>
        </w:rPr>
      </w:pPr>
      <w:r>
        <w:fldChar w:fldCharType="begin"/>
      </w:r>
      <w:r>
        <w:instrText xml:space="preserve"> HYPERLINK \l "_Toc23947146" </w:instrText>
      </w:r>
      <w:r>
        <w:fldChar w:fldCharType="separate"/>
      </w:r>
      <w:r>
        <w:rPr>
          <w:rStyle w:val="33"/>
          <w:rFonts w:hint="eastAsia" w:ascii="黑体" w:hAnsi="黑体" w:eastAsia="宋体"/>
        </w:rPr>
        <w:t>第四章</w:t>
      </w:r>
      <w:r>
        <w:rPr>
          <w:rStyle w:val="33"/>
          <w:rFonts w:ascii="黑体" w:hAnsi="黑体" w:eastAsia="宋体"/>
        </w:rPr>
        <w:t xml:space="preserve"> </w:t>
      </w:r>
      <w:r>
        <w:rPr>
          <w:rStyle w:val="33"/>
          <w:rFonts w:hint="eastAsia" w:ascii="黑体" w:hAnsi="黑体" w:eastAsia="宋体"/>
        </w:rPr>
        <w:t>開戶管理</w:t>
      </w:r>
      <w:r>
        <w:rPr>
          <w:b/>
        </w:rPr>
        <w:tab/>
      </w:r>
      <w:r>
        <w:rPr>
          <w:b/>
        </w:rPr>
        <w:fldChar w:fldCharType="begin"/>
      </w:r>
      <w:r>
        <w:rPr>
          <w:b/>
        </w:rPr>
        <w:instrText xml:space="preserve"> PAGEREF _Toc23947146 \h </w:instrText>
      </w:r>
      <w:r>
        <w:rPr>
          <w:b/>
        </w:rPr>
        <w:fldChar w:fldCharType="separate"/>
      </w:r>
      <w:r>
        <w:rPr>
          <w:rFonts w:eastAsia="宋体"/>
          <w:b/>
        </w:rPr>
        <w:t>23</w:t>
      </w:r>
      <w:r>
        <w:rPr>
          <w:b/>
        </w:rPr>
        <w:fldChar w:fldCharType="end"/>
      </w:r>
      <w:r>
        <w:rPr>
          <w:b/>
        </w:rPr>
        <w:fldChar w:fldCharType="end"/>
      </w:r>
    </w:p>
    <w:p>
      <w:pPr>
        <w:pStyle w:val="17"/>
        <w:tabs>
          <w:tab w:val="right" w:leader="dot" w:pos="8296"/>
        </w:tabs>
        <w:rPr>
          <w:rStyle w:val="33"/>
        </w:rPr>
      </w:pPr>
      <w:r>
        <w:fldChar w:fldCharType="begin"/>
      </w:r>
      <w:r>
        <w:instrText xml:space="preserve"> HYPERLINK \l "_Toc23947147" </w:instrText>
      </w:r>
      <w:r>
        <w:fldChar w:fldCharType="separate"/>
      </w:r>
      <w:r>
        <w:rPr>
          <w:rStyle w:val="33"/>
          <w:rFonts w:hint="eastAsia" w:eastAsia="宋体"/>
        </w:rPr>
        <w:t>一、帳戶體系</w:t>
      </w:r>
      <w:r>
        <w:rPr>
          <w:rStyle w:val="33"/>
        </w:rPr>
        <w:tab/>
      </w:r>
      <w:r>
        <w:rPr>
          <w:rStyle w:val="33"/>
        </w:rPr>
        <w:fldChar w:fldCharType="begin"/>
      </w:r>
      <w:r>
        <w:rPr>
          <w:rStyle w:val="33"/>
        </w:rPr>
        <w:instrText xml:space="preserve"> PAGEREF _Toc23947147 \h </w:instrText>
      </w:r>
      <w:r>
        <w:rPr>
          <w:rStyle w:val="33"/>
        </w:rPr>
        <w:fldChar w:fldCharType="separate"/>
      </w:r>
      <w:r>
        <w:rPr>
          <w:rStyle w:val="33"/>
          <w:rFonts w:eastAsia="宋体"/>
        </w:rPr>
        <w:t>23</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"_Toc23947148" </w:instrText>
      </w:r>
      <w:r>
        <w:fldChar w:fldCharType="separate"/>
      </w:r>
      <w:r>
        <w:rPr>
          <w:rStyle w:val="33"/>
          <w:rFonts w:hint="eastAsia" w:eastAsia="宋体"/>
        </w:rPr>
        <w:t>二、衍生品合約帳戶的開立與管理</w:t>
      </w:r>
      <w:r>
        <w:rPr>
          <w:rStyle w:val="33"/>
        </w:rPr>
        <w:tab/>
      </w:r>
      <w:r>
        <w:rPr>
          <w:rStyle w:val="33"/>
        </w:rPr>
        <w:fldChar w:fldCharType="begin"/>
      </w:r>
      <w:r>
        <w:rPr>
          <w:rStyle w:val="33"/>
        </w:rPr>
        <w:instrText xml:space="preserve"> PAGEREF _Toc23947148 \h </w:instrText>
      </w:r>
      <w:r>
        <w:rPr>
          <w:rStyle w:val="33"/>
        </w:rPr>
        <w:fldChar w:fldCharType="separate"/>
      </w:r>
      <w:r>
        <w:rPr>
          <w:rStyle w:val="33"/>
          <w:rFonts w:eastAsia="宋体"/>
        </w:rPr>
        <w:t>24</w:t>
      </w:r>
      <w:r>
        <w:rPr>
          <w:rStyle w:val="33"/>
        </w:rPr>
        <w:fldChar w:fldCharType="end"/>
      </w:r>
      <w:r>
        <w:rPr>
          <w:rStyle w:val="33"/>
        </w:rPr>
        <w:fldChar w:fldCharType="end"/>
      </w:r>
    </w:p>
    <w:p>
      <w:pPr>
        <w:pStyle w:val="17"/>
        <w:tabs>
          <w:tab w:val="right" w:leader="dot" w:pos="8296"/>
        </w:tabs>
        <w:rPr>
          <w:rFonts w:asciiTheme="minorHAnsi" w:hAnsiTheme="minorHAnsi" w:eastAsiaTheme="minorEastAsia" w:cstheme="minorBidi"/>
          <w:b/>
        </w:rPr>
      </w:pPr>
      <w:r>
        <w:fldChar w:fldCharType="begin"/>
      </w:r>
      <w:r>
        <w:instrText xml:space="preserve"> HYPERLINK \l "_Toc23947149" </w:instrText>
      </w:r>
      <w:r>
        <w:fldChar w:fldCharType="separate"/>
      </w:r>
      <w:r>
        <w:rPr>
          <w:rStyle w:val="33"/>
          <w:rFonts w:hint="eastAsia" w:ascii="黑体" w:hAnsi="黑体" w:eastAsia="宋体"/>
        </w:rPr>
        <w:t>第五章</w:t>
      </w:r>
      <w:r>
        <w:rPr>
          <w:rStyle w:val="33"/>
          <w:rFonts w:ascii="黑体" w:hAnsi="黑体" w:eastAsia="宋体"/>
        </w:rPr>
        <w:t xml:space="preserve"> </w:t>
      </w:r>
      <w:r>
        <w:rPr>
          <w:rStyle w:val="33"/>
          <w:rFonts w:hint="eastAsia" w:ascii="黑体" w:hAnsi="黑体" w:eastAsia="宋体"/>
        </w:rPr>
        <w:t>持倉限額管理</w:t>
      </w:r>
      <w:r>
        <w:rPr>
          <w:b/>
        </w:rPr>
        <w:tab/>
      </w:r>
      <w:r>
        <w:rPr>
          <w:b/>
        </w:rPr>
        <w:fldChar w:fldCharType="begin"/>
      </w:r>
      <w:r>
        <w:rPr>
          <w:b/>
        </w:rPr>
        <w:instrText xml:space="preserve"> PAGEREF _Toc23947149 \h </w:instrText>
      </w:r>
      <w:r>
        <w:rPr>
          <w:b/>
        </w:rPr>
        <w:fldChar w:fldCharType="separate"/>
      </w:r>
      <w:r>
        <w:rPr>
          <w:rFonts w:eastAsia="宋体"/>
          <w:b/>
        </w:rPr>
        <w:t>30</w:t>
      </w:r>
      <w:r>
        <w:rPr>
          <w:b/>
        </w:rPr>
        <w:fldChar w:fldCharType="end"/>
      </w:r>
      <w:r>
        <w:rPr>
          <w:b/>
        </w:rPr>
        <w:fldChar w:fldCharType="end"/>
      </w:r>
    </w:p>
    <w:p>
      <w:pPr>
        <w:pStyle w:val="17"/>
        <w:tabs>
          <w:tab w:val="right" w:leader="dot" w:pos="8296"/>
        </w:tabs>
        <w:rPr>
          <w:rStyle w:val="33"/>
        </w:rPr>
      </w:pPr>
      <w:r>
        <w:fldChar w:fldCharType="begin"/>
      </w:r>
      <w:r>
        <w:instrText xml:space="preserve"> HYPERLINK \l "_Toc23947150" </w:instrText>
      </w:r>
      <w:r>
        <w:fldChar w:fldCharType="separate"/>
      </w:r>
      <w:r>
        <w:rPr>
          <w:rStyle w:val="33"/>
          <w:rFonts w:hint="eastAsia" w:eastAsia="宋体"/>
        </w:rPr>
        <w:t>一、持倉限額前端控制</w:t>
      </w:r>
      <w:r>
        <w:rPr>
          <w:rStyle w:val="33"/>
        </w:rPr>
        <w:tab/>
      </w:r>
      <w:r>
        <w:rPr>
          <w:rStyle w:val="33"/>
        </w:rPr>
        <w:fldChar w:fldCharType="begin"/>
      </w:r>
      <w:r>
        <w:rPr>
          <w:rStyle w:val="33"/>
        </w:rPr>
        <w:instrText xml:space="preserve"> PAGEREF _Toc23947150 \h </w:instrText>
      </w:r>
      <w:r>
        <w:rPr>
          <w:rStyle w:val="33"/>
        </w:rPr>
        <w:fldChar w:fldCharType="separate"/>
      </w:r>
      <w:r>
        <w:rPr>
          <w:rStyle w:val="33"/>
          <w:rFonts w:eastAsia="宋体"/>
        </w:rPr>
        <w:t>30</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"_Toc23947151" </w:instrText>
      </w:r>
      <w:r>
        <w:fldChar w:fldCharType="separate"/>
      </w:r>
      <w:r>
        <w:rPr>
          <w:rStyle w:val="33"/>
          <w:rFonts w:hint="eastAsia" w:eastAsia="宋体"/>
        </w:rPr>
        <w:t>二、客戶買入額度管理（限購）</w:t>
      </w:r>
      <w:r>
        <w:rPr>
          <w:rStyle w:val="33"/>
        </w:rPr>
        <w:tab/>
      </w:r>
      <w:r>
        <w:rPr>
          <w:rStyle w:val="33"/>
        </w:rPr>
        <w:fldChar w:fldCharType="begin"/>
      </w:r>
      <w:r>
        <w:rPr>
          <w:rStyle w:val="33"/>
        </w:rPr>
        <w:instrText xml:space="preserve"> PAGEREF _Toc23947151 \h </w:instrText>
      </w:r>
      <w:r>
        <w:rPr>
          <w:rStyle w:val="33"/>
        </w:rPr>
        <w:fldChar w:fldCharType="separate"/>
      </w:r>
      <w:r>
        <w:rPr>
          <w:rStyle w:val="33"/>
          <w:rFonts w:eastAsia="宋体"/>
        </w:rPr>
        <w:t>34</w:t>
      </w:r>
      <w:r>
        <w:rPr>
          <w:rStyle w:val="33"/>
        </w:rPr>
        <w:fldChar w:fldCharType="end"/>
      </w:r>
      <w:r>
        <w:rPr>
          <w:rStyle w:val="33"/>
        </w:rPr>
        <w:fldChar w:fldCharType="end"/>
      </w:r>
    </w:p>
    <w:p>
      <w:pPr>
        <w:pStyle w:val="17"/>
        <w:tabs>
          <w:tab w:val="right" w:leader="dot" w:pos="8296"/>
        </w:tabs>
        <w:rPr>
          <w:rStyle w:val="33"/>
          <w:rFonts w:ascii="黑体" w:hAnsi="黑体" w:eastAsia="黑体"/>
          <w:b/>
        </w:rPr>
      </w:pPr>
      <w:r>
        <w:fldChar w:fldCharType="begin"/>
      </w:r>
      <w:r>
        <w:instrText xml:space="preserve"> HYPERLINK \l "_Toc23947152" </w:instrText>
      </w:r>
      <w:r>
        <w:fldChar w:fldCharType="separate"/>
      </w:r>
      <w:r>
        <w:rPr>
          <w:rStyle w:val="33"/>
          <w:rFonts w:hint="eastAsia" w:ascii="黑体" w:hAnsi="黑体" w:eastAsia="宋体"/>
        </w:rPr>
        <w:t>第六章</w:t>
      </w:r>
      <w:r>
        <w:rPr>
          <w:rStyle w:val="33"/>
          <w:rFonts w:ascii="黑体" w:hAnsi="黑体" w:eastAsia="宋体"/>
        </w:rPr>
        <w:t xml:space="preserve"> </w:t>
      </w:r>
      <w:r>
        <w:rPr>
          <w:rStyle w:val="33"/>
          <w:rFonts w:hint="eastAsia" w:ascii="黑体" w:hAnsi="黑体" w:eastAsia="宋体"/>
        </w:rPr>
        <w:t>保證金管理</w:t>
      </w:r>
      <w:r>
        <w:rPr>
          <w:rStyle w:val="33"/>
          <w:rFonts w:ascii="黑体" w:hAnsi="黑体" w:eastAsia="黑体"/>
        </w:rPr>
        <w:tab/>
      </w:r>
      <w:r>
        <w:rPr>
          <w:rStyle w:val="33"/>
          <w:rFonts w:ascii="黑体" w:hAnsi="黑体" w:eastAsia="黑体"/>
          <w:b/>
        </w:rPr>
        <w:fldChar w:fldCharType="begin"/>
      </w:r>
      <w:r>
        <w:rPr>
          <w:rStyle w:val="33"/>
          <w:rFonts w:ascii="黑体" w:hAnsi="黑体" w:eastAsia="黑体"/>
        </w:rPr>
        <w:instrText xml:space="preserve"> PAGEREF _Toc23947152 \h </w:instrText>
      </w:r>
      <w:r>
        <w:rPr>
          <w:rStyle w:val="33"/>
          <w:rFonts w:ascii="黑体" w:hAnsi="黑体" w:eastAsia="黑体"/>
          <w:b/>
        </w:rPr>
        <w:fldChar w:fldCharType="separate"/>
      </w:r>
      <w:r>
        <w:rPr>
          <w:rStyle w:val="33"/>
          <w:rFonts w:ascii="黑体" w:hAnsi="黑体" w:eastAsia="宋体"/>
        </w:rPr>
        <w:t>36</w:t>
      </w:r>
      <w:r>
        <w:rPr>
          <w:rStyle w:val="33"/>
          <w:rFonts w:ascii="黑体" w:hAnsi="黑体" w:eastAsia="黑体"/>
          <w:b/>
        </w:rPr>
        <w:fldChar w:fldCharType="end"/>
      </w:r>
      <w:r>
        <w:rPr>
          <w:rStyle w:val="33"/>
          <w:rFonts w:ascii="黑体" w:hAnsi="黑体" w:eastAsia="黑体"/>
          <w:b/>
        </w:rPr>
        <w:fldChar w:fldCharType="end"/>
      </w:r>
    </w:p>
    <w:p>
      <w:pPr>
        <w:pStyle w:val="17"/>
        <w:tabs>
          <w:tab w:val="right" w:leader="dot" w:pos="8296"/>
        </w:tabs>
        <w:rPr>
          <w:rStyle w:val="33"/>
        </w:rPr>
      </w:pPr>
      <w:r>
        <w:fldChar w:fldCharType="begin"/>
      </w:r>
      <w:r>
        <w:instrText xml:space="preserve"> HYPERLINK \l "_Toc23947153" </w:instrText>
      </w:r>
      <w:r>
        <w:fldChar w:fldCharType="separate"/>
      </w:r>
      <w:r>
        <w:rPr>
          <w:rStyle w:val="33"/>
          <w:rFonts w:hint="eastAsia" w:eastAsia="宋体"/>
        </w:rPr>
        <w:t>一、客戶保證金管理</w:t>
      </w:r>
      <w:r>
        <w:rPr>
          <w:rStyle w:val="33"/>
        </w:rPr>
        <w:tab/>
      </w:r>
      <w:r>
        <w:rPr>
          <w:rStyle w:val="33"/>
        </w:rPr>
        <w:fldChar w:fldCharType="begin"/>
      </w:r>
      <w:r>
        <w:rPr>
          <w:rStyle w:val="33"/>
        </w:rPr>
        <w:instrText xml:space="preserve"> PAGEREF _Toc23947153 \h </w:instrText>
      </w:r>
      <w:r>
        <w:rPr>
          <w:rStyle w:val="33"/>
        </w:rPr>
        <w:fldChar w:fldCharType="separate"/>
      </w:r>
      <w:r>
        <w:rPr>
          <w:rStyle w:val="33"/>
          <w:rFonts w:eastAsia="宋体"/>
        </w:rPr>
        <w:t>36</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"_Toc23947154" </w:instrText>
      </w:r>
      <w:r>
        <w:fldChar w:fldCharType="separate"/>
      </w:r>
      <w:r>
        <w:rPr>
          <w:rStyle w:val="33"/>
          <w:rFonts w:hint="eastAsia" w:eastAsia="宋体"/>
        </w:rPr>
        <w:t>二、備兌開倉客戶保證金管理</w:t>
      </w:r>
      <w:r>
        <w:rPr>
          <w:rStyle w:val="33"/>
        </w:rPr>
        <w:tab/>
      </w:r>
      <w:r>
        <w:rPr>
          <w:rStyle w:val="33"/>
        </w:rPr>
        <w:fldChar w:fldCharType="begin"/>
      </w:r>
      <w:r>
        <w:rPr>
          <w:rStyle w:val="33"/>
        </w:rPr>
        <w:instrText xml:space="preserve"> PAGEREF _Toc23947154 \h </w:instrText>
      </w:r>
      <w:r>
        <w:rPr>
          <w:rStyle w:val="33"/>
        </w:rPr>
        <w:fldChar w:fldCharType="separate"/>
      </w:r>
      <w:r>
        <w:rPr>
          <w:rStyle w:val="33"/>
          <w:rFonts w:eastAsia="宋体"/>
        </w:rPr>
        <w:t>49</w:t>
      </w:r>
      <w:r>
        <w:rPr>
          <w:rStyle w:val="33"/>
        </w:rPr>
        <w:fldChar w:fldCharType="end"/>
      </w:r>
      <w:r>
        <w:rPr>
          <w:rStyle w:val="33"/>
        </w:rPr>
        <w:fldChar w:fldCharType="end"/>
      </w:r>
    </w:p>
    <w:p>
      <w:pPr>
        <w:pStyle w:val="17"/>
        <w:tabs>
          <w:tab w:val="right" w:leader="dot" w:pos="8296"/>
        </w:tabs>
        <w:rPr>
          <w:rFonts w:ascii="黑体" w:hAnsi="黑体" w:eastAsia="黑体" w:cstheme="minorBidi"/>
        </w:rPr>
      </w:pPr>
      <w:r>
        <w:fldChar w:fldCharType="begin"/>
      </w:r>
      <w:r>
        <w:instrText xml:space="preserve"> HYPERLINK \l "_Toc23947155" </w:instrText>
      </w:r>
      <w:r>
        <w:fldChar w:fldCharType="separate"/>
      </w:r>
      <w:r>
        <w:rPr>
          <w:rStyle w:val="33"/>
          <w:rFonts w:hint="eastAsia" w:ascii="黑体" w:hAnsi="黑体" w:eastAsia="宋体"/>
        </w:rPr>
        <w:t>第七章</w:t>
      </w:r>
      <w:r>
        <w:rPr>
          <w:rStyle w:val="33"/>
          <w:rFonts w:ascii="黑体" w:hAnsi="黑体" w:eastAsia="宋体"/>
        </w:rPr>
        <w:t xml:space="preserve"> </w:t>
      </w:r>
      <w:r>
        <w:rPr>
          <w:rStyle w:val="33"/>
          <w:rFonts w:hint="eastAsia" w:ascii="黑体" w:hAnsi="黑体" w:eastAsia="宋体"/>
        </w:rPr>
        <w:t>資金風險管理</w:t>
      </w:r>
      <w:r>
        <w:rPr>
          <w:rFonts w:ascii="黑体" w:hAnsi="黑体" w:eastAsia="黑体"/>
        </w:rPr>
        <w:tab/>
      </w:r>
      <w:r>
        <w:rPr>
          <w:rFonts w:ascii="黑体" w:hAnsi="黑体" w:eastAsia="黑体"/>
        </w:rPr>
        <w:fldChar w:fldCharType="begin"/>
      </w:r>
      <w:r>
        <w:rPr>
          <w:rFonts w:ascii="黑体" w:hAnsi="黑体" w:eastAsia="黑体"/>
        </w:rPr>
        <w:instrText xml:space="preserve"> PAGEREF _Toc23947155 \h </w:instrText>
      </w:r>
      <w:r>
        <w:rPr>
          <w:rFonts w:ascii="黑体" w:hAnsi="黑体" w:eastAsia="黑体"/>
        </w:rPr>
        <w:fldChar w:fldCharType="separate"/>
      </w:r>
      <w:r>
        <w:rPr>
          <w:rFonts w:ascii="黑体" w:hAnsi="黑体" w:eastAsia="宋体"/>
        </w:rPr>
        <w:t>52</w:t>
      </w:r>
      <w:r>
        <w:rPr>
          <w:rFonts w:ascii="黑体" w:hAnsi="黑体" w:eastAsia="黑体"/>
        </w:rPr>
        <w:fldChar w:fldCharType="end"/>
      </w:r>
      <w:r>
        <w:rPr>
          <w:rFonts w:ascii="黑体" w:hAnsi="黑体" w:eastAsia="黑体"/>
        </w:rPr>
        <w:fldChar w:fldCharType="end"/>
      </w:r>
    </w:p>
    <w:p>
      <w:pPr>
        <w:pStyle w:val="17"/>
        <w:tabs>
          <w:tab w:val="right" w:leader="dot" w:pos="8296"/>
        </w:tabs>
        <w:rPr>
          <w:rStyle w:val="33"/>
        </w:rPr>
      </w:pPr>
      <w:r>
        <w:fldChar w:fldCharType="begin"/>
      </w:r>
      <w:r>
        <w:instrText xml:space="preserve"> HYPERLINK \l "_Toc23947156" </w:instrText>
      </w:r>
      <w:r>
        <w:fldChar w:fldCharType="separate"/>
      </w:r>
      <w:r>
        <w:rPr>
          <w:rStyle w:val="33"/>
          <w:rFonts w:hint="eastAsia" w:eastAsia="宋体"/>
        </w:rPr>
        <w:t>一、資金盯市管理</w:t>
      </w:r>
      <w:r>
        <w:rPr>
          <w:rStyle w:val="33"/>
        </w:rPr>
        <w:tab/>
      </w:r>
      <w:r>
        <w:rPr>
          <w:rStyle w:val="33"/>
        </w:rPr>
        <w:fldChar w:fldCharType="begin"/>
      </w:r>
      <w:r>
        <w:rPr>
          <w:rStyle w:val="33"/>
        </w:rPr>
        <w:instrText xml:space="preserve"> PAGEREF _Toc23947156 \h </w:instrText>
      </w:r>
      <w:r>
        <w:rPr>
          <w:rStyle w:val="33"/>
        </w:rPr>
        <w:fldChar w:fldCharType="separate"/>
      </w:r>
      <w:r>
        <w:rPr>
          <w:rStyle w:val="33"/>
          <w:rFonts w:eastAsia="宋体"/>
        </w:rPr>
        <w:t>52</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"_Toc23947157" </w:instrText>
      </w:r>
      <w:r>
        <w:fldChar w:fldCharType="separate"/>
      </w:r>
      <w:r>
        <w:rPr>
          <w:rStyle w:val="33"/>
          <w:rFonts w:hint="eastAsia" w:eastAsia="宋体"/>
        </w:rPr>
        <w:t>二、資金劃撥應急處理</w:t>
      </w:r>
      <w:r>
        <w:rPr>
          <w:rStyle w:val="33"/>
        </w:rPr>
        <w:tab/>
      </w:r>
      <w:r>
        <w:rPr>
          <w:rStyle w:val="33"/>
        </w:rPr>
        <w:fldChar w:fldCharType="begin"/>
      </w:r>
      <w:r>
        <w:rPr>
          <w:rStyle w:val="33"/>
        </w:rPr>
        <w:instrText xml:space="preserve"> PAGEREF _Toc23947157 \h </w:instrText>
      </w:r>
      <w:r>
        <w:rPr>
          <w:rStyle w:val="33"/>
        </w:rPr>
        <w:fldChar w:fldCharType="separate"/>
      </w:r>
      <w:r>
        <w:rPr>
          <w:rStyle w:val="33"/>
          <w:rFonts w:eastAsia="宋体"/>
        </w:rPr>
        <w:t>56</w:t>
      </w:r>
      <w:r>
        <w:rPr>
          <w:rStyle w:val="33"/>
        </w:rPr>
        <w:fldChar w:fldCharType="end"/>
      </w:r>
      <w:r>
        <w:rPr>
          <w:rStyle w:val="33"/>
        </w:rP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"_Toc23947158" </w:instrText>
      </w:r>
      <w:r>
        <w:fldChar w:fldCharType="separate"/>
      </w:r>
      <w:r>
        <w:rPr>
          <w:rStyle w:val="33"/>
          <w:rFonts w:hint="eastAsia" w:ascii="黑体" w:hAnsi="黑体" w:eastAsia="宋体"/>
        </w:rPr>
        <w:t>第八章</w:t>
      </w:r>
      <w:r>
        <w:rPr>
          <w:rStyle w:val="33"/>
          <w:rFonts w:ascii="黑体" w:hAnsi="黑体" w:eastAsia="宋体"/>
        </w:rPr>
        <w:t xml:space="preserve"> </w:t>
      </w:r>
      <w:r>
        <w:rPr>
          <w:rStyle w:val="33"/>
          <w:rFonts w:hint="eastAsia" w:ascii="黑体" w:hAnsi="黑体" w:eastAsia="宋体"/>
        </w:rPr>
        <w:t>強行平倉管理</w:t>
      </w:r>
      <w:r>
        <w:tab/>
      </w:r>
      <w:r>
        <w:fldChar w:fldCharType="begin"/>
      </w:r>
      <w:r>
        <w:instrText xml:space="preserve"> PAGEREF _Toc23947158 \h </w:instrText>
      </w:r>
      <w:r>
        <w:fldChar w:fldCharType="separate"/>
      </w:r>
      <w:r>
        <w:rPr>
          <w:rFonts w:eastAsia="宋体"/>
        </w:rPr>
        <w:t>57</w:t>
      </w:r>
      <w:r>
        <w:fldChar w:fldCharType="end"/>
      </w:r>
      <w:r>
        <w:fldChar w:fldCharType="end"/>
      </w:r>
    </w:p>
    <w:p>
      <w:pPr>
        <w:pStyle w:val="17"/>
        <w:tabs>
          <w:tab w:val="right" w:leader="dot" w:pos="8296"/>
        </w:tabs>
        <w:rPr>
          <w:rStyle w:val="33"/>
        </w:rPr>
      </w:pPr>
      <w:r>
        <w:fldChar w:fldCharType="begin"/>
      </w:r>
      <w:r>
        <w:instrText xml:space="preserve"> HYPERLINK \l "_Toc23947159" </w:instrText>
      </w:r>
      <w:r>
        <w:fldChar w:fldCharType="separate"/>
      </w:r>
      <w:r>
        <w:rPr>
          <w:rStyle w:val="33"/>
          <w:rFonts w:hint="eastAsia" w:eastAsia="宋体"/>
        </w:rPr>
        <w:t>一、保證金不足強行平倉</w:t>
      </w:r>
      <w:r>
        <w:rPr>
          <w:rStyle w:val="33"/>
        </w:rPr>
        <w:tab/>
      </w:r>
      <w:r>
        <w:rPr>
          <w:rStyle w:val="33"/>
        </w:rPr>
        <w:fldChar w:fldCharType="begin"/>
      </w:r>
      <w:r>
        <w:rPr>
          <w:rStyle w:val="33"/>
        </w:rPr>
        <w:instrText xml:space="preserve"> PAGEREF _Toc23947159 \h </w:instrText>
      </w:r>
      <w:r>
        <w:rPr>
          <w:rStyle w:val="33"/>
        </w:rPr>
        <w:fldChar w:fldCharType="separate"/>
      </w:r>
      <w:r>
        <w:rPr>
          <w:rStyle w:val="33"/>
          <w:rFonts w:eastAsia="宋体"/>
        </w:rPr>
        <w:t>57</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"_Toc23947160" </w:instrText>
      </w:r>
      <w:r>
        <w:fldChar w:fldCharType="separate"/>
      </w:r>
      <w:r>
        <w:rPr>
          <w:rStyle w:val="33"/>
          <w:rFonts w:hint="eastAsia" w:eastAsia="宋体"/>
        </w:rPr>
        <w:t>二、備兌不足強行平倉</w:t>
      </w:r>
      <w:r>
        <w:rPr>
          <w:rStyle w:val="33"/>
        </w:rPr>
        <w:tab/>
      </w:r>
      <w:r>
        <w:rPr>
          <w:rStyle w:val="33"/>
        </w:rPr>
        <w:fldChar w:fldCharType="begin"/>
      </w:r>
      <w:r>
        <w:rPr>
          <w:rStyle w:val="33"/>
        </w:rPr>
        <w:instrText xml:space="preserve"> PAGEREF _Toc23947160 \h </w:instrText>
      </w:r>
      <w:r>
        <w:rPr>
          <w:rStyle w:val="33"/>
        </w:rPr>
        <w:fldChar w:fldCharType="separate"/>
      </w:r>
      <w:r>
        <w:rPr>
          <w:rStyle w:val="33"/>
          <w:rFonts w:eastAsia="宋体"/>
        </w:rPr>
        <w:t>60</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"_Toc23947161" </w:instrText>
      </w:r>
      <w:r>
        <w:fldChar w:fldCharType="separate"/>
      </w:r>
      <w:r>
        <w:rPr>
          <w:rStyle w:val="33"/>
          <w:rFonts w:hint="eastAsia" w:eastAsia="宋体"/>
        </w:rPr>
        <w:t>三、持倉超限平倉</w:t>
      </w:r>
      <w:r>
        <w:rPr>
          <w:rStyle w:val="33"/>
        </w:rPr>
        <w:tab/>
      </w:r>
      <w:r>
        <w:rPr>
          <w:rStyle w:val="33"/>
        </w:rPr>
        <w:fldChar w:fldCharType="begin"/>
      </w:r>
      <w:r>
        <w:rPr>
          <w:rStyle w:val="33"/>
        </w:rPr>
        <w:instrText xml:space="preserve"> PAGEREF _Toc23947161 \h </w:instrText>
      </w:r>
      <w:r>
        <w:rPr>
          <w:rStyle w:val="33"/>
        </w:rPr>
        <w:fldChar w:fldCharType="separate"/>
      </w:r>
      <w:r>
        <w:rPr>
          <w:rStyle w:val="33"/>
          <w:rFonts w:eastAsia="宋体"/>
        </w:rPr>
        <w:t>63</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"_Toc23947162" </w:instrText>
      </w:r>
      <w:r>
        <w:fldChar w:fldCharType="separate"/>
      </w:r>
      <w:r>
        <w:rPr>
          <w:rStyle w:val="33"/>
          <w:rFonts w:hint="eastAsia" w:eastAsia="宋体"/>
        </w:rPr>
        <w:t>四、強平成交回報</w:t>
      </w:r>
      <w:r>
        <w:rPr>
          <w:rStyle w:val="33"/>
          <w:rFonts w:eastAsia="宋体"/>
        </w:rPr>
        <w:t>PBU</w:t>
      </w:r>
      <w:r>
        <w:rPr>
          <w:rStyle w:val="33"/>
          <w:rFonts w:hint="eastAsia" w:eastAsia="宋体"/>
        </w:rPr>
        <w:t>管理</w:t>
      </w:r>
      <w:r>
        <w:rPr>
          <w:rStyle w:val="33"/>
        </w:rPr>
        <w:tab/>
      </w:r>
      <w:r>
        <w:rPr>
          <w:rStyle w:val="33"/>
        </w:rPr>
        <w:fldChar w:fldCharType="begin"/>
      </w:r>
      <w:r>
        <w:rPr>
          <w:rStyle w:val="33"/>
        </w:rPr>
        <w:instrText xml:space="preserve"> PAGEREF _Toc23947162 \h </w:instrText>
      </w:r>
      <w:r>
        <w:rPr>
          <w:rStyle w:val="33"/>
        </w:rPr>
        <w:fldChar w:fldCharType="separate"/>
      </w:r>
      <w:r>
        <w:rPr>
          <w:rStyle w:val="33"/>
          <w:rFonts w:eastAsia="宋体"/>
        </w:rPr>
        <w:t>64</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"_Toc23947163" </w:instrText>
      </w:r>
      <w:r>
        <w:fldChar w:fldCharType="separate"/>
      </w:r>
      <w:r>
        <w:rPr>
          <w:rStyle w:val="33"/>
          <w:rFonts w:hint="eastAsia" w:eastAsia="宋体"/>
        </w:rPr>
        <w:t>五、強行平倉申報訂單指令</w:t>
      </w:r>
      <w:r>
        <w:rPr>
          <w:rStyle w:val="33"/>
        </w:rPr>
        <w:tab/>
      </w:r>
      <w:r>
        <w:rPr>
          <w:rStyle w:val="33"/>
        </w:rPr>
        <w:fldChar w:fldCharType="begin"/>
      </w:r>
      <w:r>
        <w:rPr>
          <w:rStyle w:val="33"/>
        </w:rPr>
        <w:instrText xml:space="preserve"> PAGEREF _Toc23947163 \h </w:instrText>
      </w:r>
      <w:r>
        <w:rPr>
          <w:rStyle w:val="33"/>
        </w:rPr>
        <w:fldChar w:fldCharType="separate"/>
      </w:r>
      <w:r>
        <w:rPr>
          <w:rStyle w:val="33"/>
          <w:rFonts w:eastAsia="宋体"/>
        </w:rPr>
        <w:t>64</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"_Toc23947164" </w:instrText>
      </w:r>
      <w:r>
        <w:fldChar w:fldCharType="separate"/>
      </w:r>
      <w:r>
        <w:rPr>
          <w:rStyle w:val="33"/>
          <w:rFonts w:hint="eastAsia" w:eastAsia="宋体"/>
        </w:rPr>
        <w:t>六、平倉有關的應急處理</w:t>
      </w:r>
      <w:r>
        <w:rPr>
          <w:rStyle w:val="33"/>
        </w:rPr>
        <w:tab/>
      </w:r>
      <w:r>
        <w:rPr>
          <w:rStyle w:val="33"/>
        </w:rPr>
        <w:fldChar w:fldCharType="begin"/>
      </w:r>
      <w:r>
        <w:rPr>
          <w:rStyle w:val="33"/>
        </w:rPr>
        <w:instrText xml:space="preserve"> PAGEREF _Toc23947164 \h </w:instrText>
      </w:r>
      <w:r>
        <w:rPr>
          <w:rStyle w:val="33"/>
        </w:rPr>
        <w:fldChar w:fldCharType="separate"/>
      </w:r>
      <w:r>
        <w:rPr>
          <w:rStyle w:val="33"/>
          <w:rFonts w:eastAsia="宋体"/>
        </w:rPr>
        <w:t>64</w:t>
      </w:r>
      <w:r>
        <w:rPr>
          <w:rStyle w:val="33"/>
        </w:rPr>
        <w:fldChar w:fldCharType="end"/>
      </w:r>
      <w:r>
        <w:rPr>
          <w:rStyle w:val="33"/>
        </w:rP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"_Toc23947165" </w:instrText>
      </w:r>
      <w:r>
        <w:fldChar w:fldCharType="separate"/>
      </w:r>
      <w:r>
        <w:rPr>
          <w:rStyle w:val="33"/>
          <w:rFonts w:hint="eastAsia" w:ascii="黑体" w:hAnsi="黑体" w:eastAsia="宋体"/>
        </w:rPr>
        <w:t>第九章</w:t>
      </w:r>
      <w:r>
        <w:rPr>
          <w:rStyle w:val="33"/>
          <w:rFonts w:ascii="黑体" w:hAnsi="黑体" w:eastAsia="宋体"/>
        </w:rPr>
        <w:t xml:space="preserve"> </w:t>
      </w:r>
      <w:r>
        <w:rPr>
          <w:rStyle w:val="33"/>
          <w:rFonts w:hint="eastAsia" w:ascii="黑体" w:hAnsi="黑体" w:eastAsia="宋体"/>
        </w:rPr>
        <w:t>行權交收管理</w:t>
      </w:r>
      <w:r>
        <w:tab/>
      </w:r>
      <w:r>
        <w:fldChar w:fldCharType="begin"/>
      </w:r>
      <w:r>
        <w:instrText xml:space="preserve"> PAGEREF _Toc23947165 \h </w:instrText>
      </w:r>
      <w:r>
        <w:fldChar w:fldCharType="separate"/>
      </w:r>
      <w:r>
        <w:rPr>
          <w:rFonts w:eastAsia="宋体"/>
        </w:rPr>
        <w:t>66</w:t>
      </w:r>
      <w:r>
        <w:fldChar w:fldCharType="end"/>
      </w:r>
      <w:r>
        <w:fldChar w:fldCharType="end"/>
      </w:r>
    </w:p>
    <w:p>
      <w:pPr>
        <w:pStyle w:val="17"/>
        <w:tabs>
          <w:tab w:val="right" w:leader="dot" w:pos="8296"/>
        </w:tabs>
        <w:rPr>
          <w:rStyle w:val="33"/>
        </w:rPr>
      </w:pPr>
      <w:r>
        <w:fldChar w:fldCharType="begin"/>
      </w:r>
      <w:r>
        <w:instrText xml:space="preserve"> HYPERLINK \l "_Toc23947166" </w:instrText>
      </w:r>
      <w:r>
        <w:fldChar w:fldCharType="separate"/>
      </w:r>
      <w:r>
        <w:rPr>
          <w:rStyle w:val="33"/>
          <w:rFonts w:hint="eastAsia" w:eastAsia="宋体"/>
        </w:rPr>
        <w:t>一、投資者持倉合約的行權提醒</w:t>
      </w:r>
      <w:r>
        <w:rPr>
          <w:rStyle w:val="33"/>
        </w:rPr>
        <w:tab/>
      </w:r>
      <w:r>
        <w:rPr>
          <w:rStyle w:val="33"/>
        </w:rPr>
        <w:fldChar w:fldCharType="begin"/>
      </w:r>
      <w:r>
        <w:rPr>
          <w:rStyle w:val="33"/>
        </w:rPr>
        <w:instrText xml:space="preserve"> PAGEREF _Toc23947166 \h </w:instrText>
      </w:r>
      <w:r>
        <w:rPr>
          <w:rStyle w:val="33"/>
        </w:rPr>
        <w:fldChar w:fldCharType="separate"/>
      </w:r>
      <w:r>
        <w:rPr>
          <w:rStyle w:val="33"/>
          <w:rFonts w:eastAsia="宋体"/>
        </w:rPr>
        <w:t>66</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"_Toc23947167" </w:instrText>
      </w:r>
      <w:r>
        <w:fldChar w:fldCharType="separate"/>
      </w:r>
      <w:r>
        <w:rPr>
          <w:rStyle w:val="33"/>
          <w:rFonts w:hint="eastAsia" w:eastAsia="宋体"/>
        </w:rPr>
        <w:t>二、投資者行權及交收日風險管理</w:t>
      </w:r>
      <w:r>
        <w:rPr>
          <w:rStyle w:val="33"/>
        </w:rPr>
        <w:tab/>
      </w:r>
      <w:r>
        <w:rPr>
          <w:rStyle w:val="33"/>
        </w:rPr>
        <w:fldChar w:fldCharType="begin"/>
      </w:r>
      <w:r>
        <w:rPr>
          <w:rStyle w:val="33"/>
        </w:rPr>
        <w:instrText xml:space="preserve"> PAGEREF _Toc23947167 \h </w:instrText>
      </w:r>
      <w:r>
        <w:rPr>
          <w:rStyle w:val="33"/>
        </w:rPr>
        <w:fldChar w:fldCharType="separate"/>
      </w:r>
      <w:r>
        <w:rPr>
          <w:rStyle w:val="33"/>
          <w:rFonts w:eastAsia="宋体"/>
        </w:rPr>
        <w:t>66</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"_Toc23947168" </w:instrText>
      </w:r>
      <w:r>
        <w:fldChar w:fldCharType="separate"/>
      </w:r>
      <w:r>
        <w:rPr>
          <w:rStyle w:val="33"/>
          <w:rFonts w:hint="eastAsia" w:eastAsia="宋体"/>
        </w:rPr>
        <w:t>三、行權日前調整保證金參數水準提醒</w:t>
      </w:r>
      <w:r>
        <w:rPr>
          <w:rStyle w:val="33"/>
        </w:rPr>
        <w:tab/>
      </w:r>
      <w:r>
        <w:rPr>
          <w:rStyle w:val="33"/>
        </w:rPr>
        <w:fldChar w:fldCharType="begin"/>
      </w:r>
      <w:r>
        <w:rPr>
          <w:rStyle w:val="33"/>
        </w:rPr>
        <w:instrText xml:space="preserve"> PAGEREF _Toc23947168 \h </w:instrText>
      </w:r>
      <w:r>
        <w:rPr>
          <w:rStyle w:val="33"/>
        </w:rPr>
        <w:fldChar w:fldCharType="separate"/>
      </w:r>
      <w:r>
        <w:rPr>
          <w:rStyle w:val="33"/>
          <w:rFonts w:eastAsia="宋体"/>
        </w:rPr>
        <w:t>68</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"_Toc23947169" </w:instrText>
      </w:r>
      <w:r>
        <w:fldChar w:fldCharType="separate"/>
      </w:r>
      <w:r>
        <w:rPr>
          <w:rStyle w:val="33"/>
          <w:rFonts w:hint="eastAsia" w:eastAsia="宋体"/>
        </w:rPr>
        <w:t>四、行權指令合併申報</w:t>
      </w:r>
      <w:r>
        <w:rPr>
          <w:rStyle w:val="33"/>
        </w:rPr>
        <w:tab/>
      </w:r>
      <w:r>
        <w:rPr>
          <w:rStyle w:val="33"/>
        </w:rPr>
        <w:fldChar w:fldCharType="begin"/>
      </w:r>
      <w:r>
        <w:rPr>
          <w:rStyle w:val="33"/>
        </w:rPr>
        <w:instrText xml:space="preserve"> PAGEREF _Toc23947169 \h </w:instrText>
      </w:r>
      <w:r>
        <w:rPr>
          <w:rStyle w:val="33"/>
        </w:rPr>
        <w:fldChar w:fldCharType="separate"/>
      </w:r>
      <w:r>
        <w:rPr>
          <w:rStyle w:val="33"/>
          <w:rFonts w:eastAsia="宋体"/>
        </w:rPr>
        <w:t>68</w:t>
      </w:r>
      <w:r>
        <w:rPr>
          <w:rStyle w:val="33"/>
        </w:rPr>
        <w:fldChar w:fldCharType="end"/>
      </w:r>
      <w:r>
        <w:rPr>
          <w:rStyle w:val="33"/>
        </w:rPr>
        <w:fldChar w:fldCharType="end"/>
      </w:r>
    </w:p>
    <w:p>
      <w:pPr>
        <w:pStyle w:val="17"/>
        <w:tabs>
          <w:tab w:val="right" w:leader="dot" w:pos="8296"/>
        </w:tabs>
        <w:rPr>
          <w:rStyle w:val="33"/>
          <w:rFonts w:ascii="黑体" w:hAnsi="黑体" w:eastAsia="黑体"/>
          <w:b/>
        </w:rPr>
      </w:pPr>
      <w:r>
        <w:fldChar w:fldCharType="begin"/>
      </w:r>
      <w:r>
        <w:instrText xml:space="preserve"> HYPERLINK \l "_Toc23947170" </w:instrText>
      </w:r>
      <w:r>
        <w:fldChar w:fldCharType="separate"/>
      </w:r>
      <w:r>
        <w:rPr>
          <w:rStyle w:val="33"/>
          <w:rFonts w:hint="eastAsia" w:ascii="黑体" w:hAnsi="黑体" w:eastAsia="宋体"/>
        </w:rPr>
        <w:t>第十章</w:t>
      </w:r>
      <w:r>
        <w:rPr>
          <w:rStyle w:val="33"/>
          <w:rFonts w:ascii="黑体" w:hAnsi="黑体" w:eastAsia="宋体"/>
        </w:rPr>
        <w:t xml:space="preserve">  </w:t>
      </w:r>
      <w:r>
        <w:rPr>
          <w:rStyle w:val="33"/>
          <w:rFonts w:hint="eastAsia" w:ascii="黑体" w:hAnsi="黑体" w:eastAsia="宋体"/>
        </w:rPr>
        <w:t>協議行權</w:t>
      </w:r>
      <w:r>
        <w:rPr>
          <w:rStyle w:val="33"/>
          <w:rFonts w:ascii="黑体" w:hAnsi="黑体" w:eastAsia="黑体"/>
        </w:rPr>
        <w:tab/>
      </w:r>
      <w:r>
        <w:rPr>
          <w:rStyle w:val="33"/>
          <w:rFonts w:ascii="黑体" w:hAnsi="黑体" w:eastAsia="黑体"/>
          <w:b/>
        </w:rPr>
        <w:fldChar w:fldCharType="begin"/>
      </w:r>
      <w:r>
        <w:rPr>
          <w:rStyle w:val="33"/>
          <w:rFonts w:ascii="黑体" w:hAnsi="黑体" w:eastAsia="黑体"/>
        </w:rPr>
        <w:instrText xml:space="preserve"> PAGEREF _Toc23947170 \h </w:instrText>
      </w:r>
      <w:r>
        <w:rPr>
          <w:rStyle w:val="33"/>
          <w:rFonts w:ascii="黑体" w:hAnsi="黑体" w:eastAsia="黑体"/>
          <w:b/>
        </w:rPr>
        <w:fldChar w:fldCharType="separate"/>
      </w:r>
      <w:r>
        <w:rPr>
          <w:rStyle w:val="33"/>
          <w:rFonts w:ascii="黑体" w:hAnsi="黑体" w:eastAsia="宋体"/>
        </w:rPr>
        <w:t>71</w:t>
      </w:r>
      <w:r>
        <w:rPr>
          <w:rStyle w:val="33"/>
          <w:rFonts w:ascii="黑体" w:hAnsi="黑体" w:eastAsia="黑体"/>
          <w:b/>
        </w:rPr>
        <w:fldChar w:fldCharType="end"/>
      </w:r>
      <w:r>
        <w:rPr>
          <w:rStyle w:val="33"/>
          <w:rFonts w:ascii="黑体" w:hAnsi="黑体" w:eastAsia="黑体"/>
          <w:b/>
        </w:rPr>
        <w:fldChar w:fldCharType="end"/>
      </w:r>
    </w:p>
    <w:p>
      <w:pPr>
        <w:pStyle w:val="17"/>
        <w:tabs>
          <w:tab w:val="right" w:leader="dot" w:pos="8296"/>
        </w:tabs>
        <w:rPr>
          <w:rStyle w:val="33"/>
        </w:rPr>
      </w:pPr>
      <w:r>
        <w:fldChar w:fldCharType="begin"/>
      </w:r>
      <w:r>
        <w:instrText xml:space="preserve"> HYPERLINK \l "_Toc23947171" </w:instrText>
      </w:r>
      <w:r>
        <w:fldChar w:fldCharType="separate"/>
      </w:r>
      <w:r>
        <w:rPr>
          <w:rStyle w:val="33"/>
          <w:rFonts w:hint="eastAsia" w:eastAsia="宋体"/>
        </w:rPr>
        <w:t>一、協議行權策略</w:t>
      </w:r>
      <w:r>
        <w:rPr>
          <w:rStyle w:val="33"/>
        </w:rPr>
        <w:tab/>
      </w:r>
      <w:r>
        <w:rPr>
          <w:rStyle w:val="33"/>
        </w:rPr>
        <w:fldChar w:fldCharType="begin"/>
      </w:r>
      <w:r>
        <w:rPr>
          <w:rStyle w:val="33"/>
        </w:rPr>
        <w:instrText xml:space="preserve"> PAGEREF _Toc23947171 \h </w:instrText>
      </w:r>
      <w:r>
        <w:rPr>
          <w:rStyle w:val="33"/>
        </w:rPr>
        <w:fldChar w:fldCharType="separate"/>
      </w:r>
      <w:r>
        <w:rPr>
          <w:rStyle w:val="33"/>
          <w:rFonts w:eastAsia="宋体"/>
        </w:rPr>
        <w:t>71</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"_Toc23947172" </w:instrText>
      </w:r>
      <w:r>
        <w:fldChar w:fldCharType="separate"/>
      </w:r>
      <w:r>
        <w:rPr>
          <w:rStyle w:val="33"/>
          <w:rFonts w:hint="eastAsia" w:eastAsia="宋体"/>
        </w:rPr>
        <w:t>二、協議行權注意事項</w:t>
      </w:r>
      <w:r>
        <w:rPr>
          <w:rStyle w:val="33"/>
        </w:rPr>
        <w:tab/>
      </w:r>
      <w:r>
        <w:rPr>
          <w:rStyle w:val="33"/>
        </w:rPr>
        <w:fldChar w:fldCharType="begin"/>
      </w:r>
      <w:r>
        <w:rPr>
          <w:rStyle w:val="33"/>
        </w:rPr>
        <w:instrText xml:space="preserve"> PAGEREF _Toc23947172 \h </w:instrText>
      </w:r>
      <w:r>
        <w:rPr>
          <w:rStyle w:val="33"/>
        </w:rPr>
        <w:fldChar w:fldCharType="separate"/>
      </w:r>
      <w:r>
        <w:rPr>
          <w:rStyle w:val="33"/>
          <w:rFonts w:eastAsia="宋体"/>
        </w:rPr>
        <w:t>72</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"_Toc23947173" </w:instrText>
      </w:r>
      <w:r>
        <w:fldChar w:fldCharType="separate"/>
      </w:r>
      <w:r>
        <w:rPr>
          <w:rStyle w:val="33"/>
          <w:rFonts w:hint="eastAsia" w:ascii="黑体" w:hAnsi="黑体" w:eastAsia="宋体"/>
        </w:rPr>
        <w:t>第十一章</w:t>
      </w:r>
      <w:r>
        <w:rPr>
          <w:rStyle w:val="33"/>
          <w:rFonts w:ascii="黑体" w:hAnsi="黑体" w:eastAsia="宋体"/>
        </w:rPr>
        <w:t xml:space="preserve">  </w:t>
      </w:r>
      <w:r>
        <w:rPr>
          <w:rStyle w:val="33"/>
          <w:rFonts w:hint="eastAsia" w:ascii="黑体" w:hAnsi="黑体" w:eastAsia="宋体"/>
        </w:rPr>
        <w:t>客戶結算</w:t>
      </w:r>
      <w:r>
        <w:rPr>
          <w:rStyle w:val="33"/>
        </w:rPr>
        <w:tab/>
      </w:r>
      <w:r>
        <w:rPr>
          <w:rStyle w:val="33"/>
        </w:rPr>
        <w:fldChar w:fldCharType="begin"/>
      </w:r>
      <w:r>
        <w:rPr>
          <w:rStyle w:val="33"/>
        </w:rPr>
        <w:instrText xml:space="preserve"> PAGEREF _Toc23947173 \h </w:instrText>
      </w:r>
      <w:r>
        <w:rPr>
          <w:rStyle w:val="33"/>
        </w:rPr>
        <w:fldChar w:fldCharType="separate"/>
      </w:r>
      <w:r>
        <w:rPr>
          <w:rStyle w:val="33"/>
          <w:rFonts w:eastAsia="宋体"/>
        </w:rPr>
        <w:t>73</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"_Toc23947174" </w:instrText>
      </w:r>
      <w:r>
        <w:fldChar w:fldCharType="separate"/>
      </w:r>
      <w:r>
        <w:rPr>
          <w:rStyle w:val="33"/>
          <w:rFonts w:hint="eastAsia" w:eastAsia="宋体"/>
        </w:rPr>
        <w:t>一、日常交易清算</w:t>
      </w:r>
      <w:r>
        <w:rPr>
          <w:rStyle w:val="33"/>
        </w:rPr>
        <w:tab/>
      </w:r>
      <w:r>
        <w:rPr>
          <w:rStyle w:val="33"/>
        </w:rPr>
        <w:fldChar w:fldCharType="begin"/>
      </w:r>
      <w:r>
        <w:rPr>
          <w:rStyle w:val="33"/>
        </w:rPr>
        <w:instrText xml:space="preserve"> PAGEREF _Toc23947174 \h </w:instrText>
      </w:r>
      <w:r>
        <w:rPr>
          <w:rStyle w:val="33"/>
        </w:rPr>
        <w:fldChar w:fldCharType="separate"/>
      </w:r>
      <w:r>
        <w:rPr>
          <w:rStyle w:val="33"/>
          <w:rFonts w:eastAsia="宋体"/>
        </w:rPr>
        <w:t>73</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"_Toc23947175" </w:instrText>
      </w:r>
      <w:r>
        <w:fldChar w:fldCharType="separate"/>
      </w:r>
      <w:r>
        <w:rPr>
          <w:rStyle w:val="33"/>
          <w:rFonts w:hint="eastAsia" w:eastAsia="宋体"/>
        </w:rPr>
        <w:t>二、清算後數據對賬</w:t>
      </w:r>
      <w:r>
        <w:rPr>
          <w:rStyle w:val="33"/>
        </w:rPr>
        <w:tab/>
      </w:r>
      <w:r>
        <w:rPr>
          <w:rStyle w:val="33"/>
        </w:rPr>
        <w:fldChar w:fldCharType="begin"/>
      </w:r>
      <w:r>
        <w:rPr>
          <w:rStyle w:val="33"/>
        </w:rPr>
        <w:instrText xml:space="preserve"> PAGEREF _Toc23947175 \h </w:instrText>
      </w:r>
      <w:r>
        <w:rPr>
          <w:rStyle w:val="33"/>
        </w:rPr>
        <w:fldChar w:fldCharType="separate"/>
      </w:r>
      <w:r>
        <w:rPr>
          <w:rStyle w:val="33"/>
          <w:rFonts w:eastAsia="宋体"/>
        </w:rPr>
        <w:t>74</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"_Toc23947176" </w:instrText>
      </w:r>
      <w:r>
        <w:fldChar w:fldCharType="separate"/>
      </w:r>
      <w:r>
        <w:rPr>
          <w:rStyle w:val="33"/>
          <w:rFonts w:hint="eastAsia" w:eastAsia="宋体"/>
        </w:rPr>
        <w:t>三、日常交易交收</w:t>
      </w:r>
      <w:r>
        <w:rPr>
          <w:rStyle w:val="33"/>
        </w:rPr>
        <w:tab/>
      </w:r>
      <w:r>
        <w:rPr>
          <w:rStyle w:val="33"/>
        </w:rPr>
        <w:fldChar w:fldCharType="begin"/>
      </w:r>
      <w:r>
        <w:rPr>
          <w:rStyle w:val="33"/>
        </w:rPr>
        <w:instrText xml:space="preserve"> PAGEREF _Toc23947176 \h </w:instrText>
      </w:r>
      <w:r>
        <w:rPr>
          <w:rStyle w:val="33"/>
        </w:rPr>
        <w:fldChar w:fldCharType="separate"/>
      </w:r>
      <w:r>
        <w:rPr>
          <w:rStyle w:val="33"/>
          <w:rFonts w:eastAsia="宋体"/>
        </w:rPr>
        <w:t>74</w:t>
      </w:r>
      <w:r>
        <w:rPr>
          <w:rStyle w:val="33"/>
        </w:rPr>
        <w:fldChar w:fldCharType="end"/>
      </w:r>
      <w:r>
        <w:rPr>
          <w:rStyle w:val="33"/>
        </w:rPr>
        <w:fldChar w:fldCharType="end"/>
      </w:r>
    </w:p>
    <w:p>
      <w:pPr>
        <w:pStyle w:val="17"/>
        <w:tabs>
          <w:tab w:val="right" w:leader="dot" w:pos="8296"/>
        </w:tabs>
        <w:rPr>
          <w:rStyle w:val="33"/>
          <w:rFonts w:ascii="黑体" w:hAnsi="黑体" w:eastAsia="黑体"/>
          <w:b/>
        </w:rPr>
      </w:pPr>
      <w:r>
        <w:fldChar w:fldCharType="begin"/>
      </w:r>
      <w:r>
        <w:instrText xml:space="preserve"> HYPERLINK \l "_Toc23947177" </w:instrText>
      </w:r>
      <w:r>
        <w:fldChar w:fldCharType="separate"/>
      </w:r>
      <w:r>
        <w:rPr>
          <w:rStyle w:val="33"/>
          <w:rFonts w:hint="eastAsia" w:ascii="黑体" w:hAnsi="黑体" w:eastAsia="宋体"/>
        </w:rPr>
        <w:t>第十二章</w:t>
      </w:r>
      <w:r>
        <w:rPr>
          <w:rStyle w:val="33"/>
          <w:rFonts w:ascii="黑体" w:hAnsi="黑体" w:eastAsia="宋体"/>
        </w:rPr>
        <w:t xml:space="preserve"> </w:t>
      </w:r>
      <w:r>
        <w:rPr>
          <w:rStyle w:val="33"/>
          <w:rFonts w:hint="eastAsia" w:ascii="黑体" w:hAnsi="黑体" w:eastAsia="宋体"/>
        </w:rPr>
        <w:t>投資者數據報備</w:t>
      </w:r>
      <w:r>
        <w:rPr>
          <w:rStyle w:val="33"/>
          <w:rFonts w:ascii="黑体" w:hAnsi="黑体" w:eastAsia="黑体"/>
        </w:rPr>
        <w:tab/>
      </w:r>
      <w:r>
        <w:rPr>
          <w:rStyle w:val="33"/>
          <w:rFonts w:ascii="黑体" w:hAnsi="黑体" w:eastAsia="黑体"/>
          <w:b/>
        </w:rPr>
        <w:fldChar w:fldCharType="begin"/>
      </w:r>
      <w:r>
        <w:rPr>
          <w:rStyle w:val="33"/>
          <w:rFonts w:ascii="黑体" w:hAnsi="黑体" w:eastAsia="黑体"/>
        </w:rPr>
        <w:instrText xml:space="preserve"> PAGEREF _Toc23947177 \h </w:instrText>
      </w:r>
      <w:r>
        <w:rPr>
          <w:rStyle w:val="33"/>
          <w:rFonts w:ascii="黑体" w:hAnsi="黑体" w:eastAsia="黑体"/>
          <w:b/>
        </w:rPr>
        <w:fldChar w:fldCharType="separate"/>
      </w:r>
      <w:r>
        <w:rPr>
          <w:rStyle w:val="33"/>
          <w:rFonts w:ascii="黑体" w:hAnsi="黑体" w:eastAsia="宋体"/>
        </w:rPr>
        <w:t>76</w:t>
      </w:r>
      <w:r>
        <w:rPr>
          <w:rStyle w:val="33"/>
          <w:rFonts w:ascii="黑体" w:hAnsi="黑体" w:eastAsia="黑体"/>
          <w:b/>
        </w:rPr>
        <w:fldChar w:fldCharType="end"/>
      </w:r>
      <w:r>
        <w:rPr>
          <w:rStyle w:val="33"/>
          <w:rFonts w:ascii="黑体" w:hAnsi="黑体" w:eastAsia="黑体"/>
          <w:b/>
        </w:rP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"_Toc23947178" </w:instrText>
      </w:r>
      <w:r>
        <w:fldChar w:fldCharType="separate"/>
      </w:r>
      <w:r>
        <w:rPr>
          <w:rStyle w:val="33"/>
          <w:rFonts w:hint="eastAsia" w:ascii="黑体" w:hAnsi="黑体" w:eastAsia="宋体"/>
        </w:rPr>
        <w:t>第十三章</w:t>
      </w:r>
      <w:r>
        <w:rPr>
          <w:rStyle w:val="33"/>
          <w:rFonts w:ascii="黑体" w:hAnsi="黑体" w:eastAsia="宋体"/>
        </w:rPr>
        <w:t xml:space="preserve"> </w:t>
      </w:r>
      <w:r>
        <w:rPr>
          <w:rStyle w:val="33"/>
          <w:rFonts w:hint="eastAsia" w:ascii="黑体" w:hAnsi="黑体" w:eastAsia="宋体"/>
        </w:rPr>
        <w:t>程式交易報備</w:t>
      </w:r>
      <w:r>
        <w:tab/>
      </w:r>
      <w:r>
        <w:fldChar w:fldCharType="begin"/>
      </w:r>
      <w:r>
        <w:instrText xml:space="preserve"> PAGEREF _Toc23947178 \h </w:instrText>
      </w:r>
      <w:r>
        <w:fldChar w:fldCharType="separate"/>
      </w:r>
      <w:r>
        <w:rPr>
          <w:rFonts w:eastAsia="宋体"/>
        </w:rPr>
        <w:t>78</w:t>
      </w:r>
      <w:r>
        <w:fldChar w:fldCharType="end"/>
      </w:r>
      <w:r>
        <w:fldChar w:fldCharType="end"/>
      </w:r>
    </w:p>
    <w:p>
      <w:pPr>
        <w:pStyle w:val="17"/>
        <w:tabs>
          <w:tab w:val="right" w:leader="dot" w:pos="8296"/>
        </w:tabs>
        <w:rPr>
          <w:rStyle w:val="33"/>
        </w:rPr>
      </w:pPr>
      <w:r>
        <w:fldChar w:fldCharType="begin"/>
      </w:r>
      <w:r>
        <w:instrText xml:space="preserve"> HYPERLINK \l "_Toc23947179" </w:instrText>
      </w:r>
      <w:r>
        <w:fldChar w:fldCharType="separate"/>
      </w:r>
      <w:r>
        <w:rPr>
          <w:rStyle w:val="33"/>
          <w:rFonts w:hint="eastAsia" w:eastAsia="宋体"/>
        </w:rPr>
        <w:t>一、程式交易接入管理要求</w:t>
      </w:r>
      <w:r>
        <w:rPr>
          <w:rStyle w:val="33"/>
        </w:rPr>
        <w:tab/>
      </w:r>
      <w:r>
        <w:rPr>
          <w:rStyle w:val="33"/>
        </w:rPr>
        <w:fldChar w:fldCharType="begin"/>
      </w:r>
      <w:r>
        <w:rPr>
          <w:rStyle w:val="33"/>
        </w:rPr>
        <w:instrText xml:space="preserve"> PAGEREF _Toc23947179 \h </w:instrText>
      </w:r>
      <w:r>
        <w:rPr>
          <w:rStyle w:val="33"/>
        </w:rPr>
        <w:fldChar w:fldCharType="separate"/>
      </w:r>
      <w:r>
        <w:rPr>
          <w:rStyle w:val="33"/>
          <w:rFonts w:eastAsia="宋体"/>
        </w:rPr>
        <w:t>78</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"_Toc23947180" </w:instrText>
      </w:r>
      <w:r>
        <w:fldChar w:fldCharType="separate"/>
      </w:r>
      <w:r>
        <w:rPr>
          <w:rStyle w:val="33"/>
          <w:rFonts w:hint="eastAsia" w:eastAsia="宋体"/>
        </w:rPr>
        <w:t>二、程式交易報備管理要求</w:t>
      </w:r>
      <w:r>
        <w:rPr>
          <w:rStyle w:val="33"/>
        </w:rPr>
        <w:tab/>
      </w:r>
      <w:r>
        <w:rPr>
          <w:rStyle w:val="33"/>
        </w:rPr>
        <w:fldChar w:fldCharType="begin"/>
      </w:r>
      <w:r>
        <w:rPr>
          <w:rStyle w:val="33"/>
        </w:rPr>
        <w:instrText xml:space="preserve"> PAGEREF _Toc23947180 \h </w:instrText>
      </w:r>
      <w:r>
        <w:rPr>
          <w:rStyle w:val="33"/>
        </w:rPr>
        <w:fldChar w:fldCharType="separate"/>
      </w:r>
      <w:r>
        <w:rPr>
          <w:rStyle w:val="33"/>
          <w:rFonts w:eastAsia="宋体"/>
        </w:rPr>
        <w:t>78</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"_Toc23947181" </w:instrText>
      </w:r>
      <w:r>
        <w:fldChar w:fldCharType="separate"/>
      </w:r>
      <w:r>
        <w:rPr>
          <w:rStyle w:val="33"/>
          <w:rFonts w:hint="eastAsia" w:eastAsia="宋体"/>
        </w:rPr>
        <w:t>三、變更報備</w:t>
      </w:r>
      <w:r>
        <w:rPr>
          <w:rStyle w:val="33"/>
        </w:rPr>
        <w:tab/>
      </w:r>
      <w:r>
        <w:rPr>
          <w:rStyle w:val="33"/>
        </w:rPr>
        <w:fldChar w:fldCharType="begin"/>
      </w:r>
      <w:r>
        <w:rPr>
          <w:rStyle w:val="33"/>
        </w:rPr>
        <w:instrText xml:space="preserve"> PAGEREF _Toc23947181 \h </w:instrText>
      </w:r>
      <w:r>
        <w:rPr>
          <w:rStyle w:val="33"/>
        </w:rPr>
        <w:fldChar w:fldCharType="separate"/>
      </w:r>
      <w:r>
        <w:rPr>
          <w:rStyle w:val="33"/>
          <w:rFonts w:eastAsia="宋体"/>
        </w:rPr>
        <w:t>79</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"_Toc23947182" </w:instrText>
      </w:r>
      <w:r>
        <w:fldChar w:fldCharType="separate"/>
      </w:r>
      <w:r>
        <w:rPr>
          <w:rStyle w:val="33"/>
          <w:rFonts w:hint="eastAsia" w:eastAsia="宋体"/>
        </w:rPr>
        <w:t>四、程式交易的監管</w:t>
      </w:r>
      <w:r>
        <w:rPr>
          <w:rStyle w:val="33"/>
        </w:rPr>
        <w:tab/>
      </w:r>
      <w:r>
        <w:rPr>
          <w:rStyle w:val="33"/>
        </w:rPr>
        <w:fldChar w:fldCharType="begin"/>
      </w:r>
      <w:r>
        <w:rPr>
          <w:rStyle w:val="33"/>
        </w:rPr>
        <w:instrText xml:space="preserve"> PAGEREF _Toc23947182 \h </w:instrText>
      </w:r>
      <w:r>
        <w:rPr>
          <w:rStyle w:val="33"/>
        </w:rPr>
        <w:fldChar w:fldCharType="separate"/>
      </w:r>
      <w:r>
        <w:rPr>
          <w:rStyle w:val="33"/>
          <w:rFonts w:eastAsia="宋体"/>
        </w:rPr>
        <w:t>79</w:t>
      </w:r>
      <w:r>
        <w:rPr>
          <w:rStyle w:val="33"/>
        </w:rPr>
        <w:fldChar w:fldCharType="end"/>
      </w:r>
      <w:r>
        <w:rPr>
          <w:rStyle w:val="33"/>
        </w:rPr>
        <w:fldChar w:fldCharType="end"/>
      </w:r>
    </w:p>
    <w:p>
      <w:pPr>
        <w:pStyle w:val="17"/>
        <w:tabs>
          <w:tab w:val="right" w:leader="dot" w:pos="8296"/>
        </w:tabs>
        <w:rPr>
          <w:rStyle w:val="33"/>
          <w:rFonts w:ascii="黑体" w:hAnsi="黑体" w:eastAsia="黑体"/>
          <w:b/>
        </w:rPr>
      </w:pPr>
      <w:r>
        <w:fldChar w:fldCharType="begin"/>
      </w:r>
      <w:r>
        <w:instrText xml:space="preserve"> HYPERLINK \l "_Toc23947183" </w:instrText>
      </w:r>
      <w:r>
        <w:fldChar w:fldCharType="separate"/>
      </w:r>
      <w:r>
        <w:rPr>
          <w:rStyle w:val="33"/>
          <w:rFonts w:hint="eastAsia" w:ascii="黑体" w:hAnsi="黑体" w:eastAsia="宋体"/>
        </w:rPr>
        <w:t>第十四章</w:t>
      </w:r>
      <w:r>
        <w:rPr>
          <w:rStyle w:val="33"/>
          <w:rFonts w:ascii="黑体" w:hAnsi="黑体" w:eastAsia="宋体"/>
        </w:rPr>
        <w:t xml:space="preserve">  </w:t>
      </w:r>
      <w:r>
        <w:rPr>
          <w:rStyle w:val="33"/>
          <w:rFonts w:hint="eastAsia" w:ascii="黑体" w:hAnsi="黑体" w:eastAsia="宋体"/>
        </w:rPr>
        <w:t>大戶報告</w:t>
      </w:r>
      <w:r>
        <w:rPr>
          <w:rStyle w:val="33"/>
          <w:rFonts w:ascii="黑体" w:hAnsi="黑体" w:eastAsia="黑体"/>
        </w:rPr>
        <w:tab/>
      </w:r>
      <w:r>
        <w:rPr>
          <w:rStyle w:val="33"/>
          <w:rFonts w:ascii="黑体" w:hAnsi="黑体" w:eastAsia="黑体"/>
          <w:b/>
        </w:rPr>
        <w:fldChar w:fldCharType="begin"/>
      </w:r>
      <w:r>
        <w:rPr>
          <w:rStyle w:val="33"/>
          <w:rFonts w:ascii="黑体" w:hAnsi="黑体" w:eastAsia="黑体"/>
        </w:rPr>
        <w:instrText xml:space="preserve"> PAGEREF _Toc23947183 \h </w:instrText>
      </w:r>
      <w:r>
        <w:rPr>
          <w:rStyle w:val="33"/>
          <w:rFonts w:ascii="黑体" w:hAnsi="黑体" w:eastAsia="黑体"/>
          <w:b/>
        </w:rPr>
        <w:fldChar w:fldCharType="separate"/>
      </w:r>
      <w:r>
        <w:rPr>
          <w:rStyle w:val="33"/>
          <w:rFonts w:ascii="黑体" w:hAnsi="黑体" w:eastAsia="宋体"/>
        </w:rPr>
        <w:t>80</w:t>
      </w:r>
      <w:r>
        <w:rPr>
          <w:rStyle w:val="33"/>
          <w:rFonts w:ascii="黑体" w:hAnsi="黑体" w:eastAsia="黑体"/>
          <w:b/>
        </w:rPr>
        <w:fldChar w:fldCharType="end"/>
      </w:r>
      <w:r>
        <w:rPr>
          <w:rStyle w:val="33"/>
          <w:rFonts w:ascii="黑体" w:hAnsi="黑体" w:eastAsia="黑体"/>
          <w:b/>
        </w:rP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"_Toc23947184" </w:instrText>
      </w:r>
      <w:r>
        <w:fldChar w:fldCharType="separate"/>
      </w:r>
      <w:r>
        <w:rPr>
          <w:rStyle w:val="33"/>
          <w:rFonts w:hint="eastAsia" w:ascii="黑体" w:hAnsi="黑体" w:eastAsia="宋体"/>
        </w:rPr>
        <w:t>第十五章</w:t>
      </w:r>
      <w:r>
        <w:rPr>
          <w:rStyle w:val="33"/>
          <w:rFonts w:ascii="黑体" w:hAnsi="黑体" w:eastAsia="宋体"/>
        </w:rPr>
        <w:t xml:space="preserve"> </w:t>
      </w:r>
      <w:r>
        <w:rPr>
          <w:rStyle w:val="33"/>
          <w:rFonts w:hint="eastAsia" w:ascii="黑体" w:hAnsi="黑体" w:eastAsia="宋体"/>
        </w:rPr>
        <w:t>應急預案</w:t>
      </w:r>
      <w:r>
        <w:tab/>
      </w:r>
      <w:r>
        <w:fldChar w:fldCharType="begin"/>
      </w:r>
      <w:r>
        <w:instrText xml:space="preserve"> PAGEREF _Toc23947184 \h </w:instrText>
      </w:r>
      <w:r>
        <w:fldChar w:fldCharType="separate"/>
      </w:r>
      <w:r>
        <w:rPr>
          <w:rFonts w:eastAsia="宋体"/>
        </w:rPr>
        <w:t>82</w:t>
      </w:r>
      <w:r>
        <w:fldChar w:fldCharType="end"/>
      </w:r>
      <w:r>
        <w:fldChar w:fldCharType="end"/>
      </w:r>
    </w:p>
    <w:p>
      <w:pPr>
        <w:pStyle w:val="17"/>
        <w:tabs>
          <w:tab w:val="right" w:leader="dot" w:pos="8296"/>
        </w:tabs>
        <w:rPr>
          <w:rStyle w:val="33"/>
        </w:rPr>
      </w:pPr>
      <w:r>
        <w:fldChar w:fldCharType="begin"/>
      </w:r>
      <w:r>
        <w:instrText xml:space="preserve"> HYPERLINK \l "_Toc23947185" </w:instrText>
      </w:r>
      <w:r>
        <w:fldChar w:fldCharType="separate"/>
      </w:r>
      <w:r>
        <w:rPr>
          <w:rStyle w:val="33"/>
          <w:rFonts w:hint="eastAsia" w:eastAsia="宋体"/>
        </w:rPr>
        <w:t>一、業務人員操作應急事件</w:t>
      </w:r>
      <w:r>
        <w:rPr>
          <w:rStyle w:val="33"/>
        </w:rPr>
        <w:tab/>
      </w:r>
      <w:r>
        <w:rPr>
          <w:rStyle w:val="33"/>
        </w:rPr>
        <w:fldChar w:fldCharType="begin"/>
      </w:r>
      <w:r>
        <w:rPr>
          <w:rStyle w:val="33"/>
        </w:rPr>
        <w:instrText xml:space="preserve"> PAGEREF _Toc23947185 \h </w:instrText>
      </w:r>
      <w:r>
        <w:rPr>
          <w:rStyle w:val="33"/>
        </w:rPr>
        <w:fldChar w:fldCharType="separate"/>
      </w:r>
      <w:r>
        <w:rPr>
          <w:rStyle w:val="33"/>
          <w:rFonts w:eastAsia="宋体"/>
        </w:rPr>
        <w:t>82</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"_Toc23947186" </w:instrText>
      </w:r>
      <w:r>
        <w:fldChar w:fldCharType="separate"/>
      </w:r>
      <w:r>
        <w:rPr>
          <w:rStyle w:val="33"/>
          <w:rFonts w:hint="eastAsia" w:eastAsia="宋体"/>
        </w:rPr>
        <w:t>二、系統技術應急事件</w:t>
      </w:r>
      <w:r>
        <w:rPr>
          <w:rStyle w:val="33"/>
        </w:rPr>
        <w:tab/>
      </w:r>
      <w:r>
        <w:rPr>
          <w:rStyle w:val="33"/>
        </w:rPr>
        <w:fldChar w:fldCharType="begin"/>
      </w:r>
      <w:r>
        <w:rPr>
          <w:rStyle w:val="33"/>
        </w:rPr>
        <w:instrText xml:space="preserve"> PAGEREF _Toc23947186 \h </w:instrText>
      </w:r>
      <w:r>
        <w:rPr>
          <w:rStyle w:val="33"/>
        </w:rPr>
        <w:fldChar w:fldCharType="separate"/>
      </w:r>
      <w:r>
        <w:rPr>
          <w:rStyle w:val="33"/>
          <w:rFonts w:eastAsia="宋体"/>
        </w:rPr>
        <w:t>83</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"_Toc23947187" </w:instrText>
      </w:r>
      <w:r>
        <w:fldChar w:fldCharType="separate"/>
      </w:r>
      <w:r>
        <w:rPr>
          <w:rStyle w:val="33"/>
          <w:rFonts w:hint="eastAsia" w:eastAsia="宋体"/>
        </w:rPr>
        <w:t>三、交易異常事件</w:t>
      </w:r>
      <w:r>
        <w:rPr>
          <w:rStyle w:val="33"/>
        </w:rPr>
        <w:tab/>
      </w:r>
      <w:r>
        <w:rPr>
          <w:rStyle w:val="33"/>
        </w:rPr>
        <w:fldChar w:fldCharType="begin"/>
      </w:r>
      <w:r>
        <w:rPr>
          <w:rStyle w:val="33"/>
        </w:rPr>
        <w:instrText xml:space="preserve"> PAGEREF _Toc23947187 \h </w:instrText>
      </w:r>
      <w:r>
        <w:rPr>
          <w:rStyle w:val="33"/>
        </w:rPr>
        <w:fldChar w:fldCharType="separate"/>
      </w:r>
      <w:r>
        <w:rPr>
          <w:rStyle w:val="33"/>
          <w:rFonts w:eastAsia="宋体"/>
        </w:rPr>
        <w:t>83</w:t>
      </w:r>
      <w:r>
        <w:rPr>
          <w:rStyle w:val="33"/>
        </w:rPr>
        <w:fldChar w:fldCharType="end"/>
      </w:r>
      <w:r>
        <w:rPr>
          <w:rStyle w:val="33"/>
        </w:rPr>
        <w:fldChar w:fldCharType="end"/>
      </w:r>
    </w:p>
    <w:p>
      <w:pPr>
        <w:pStyle w:val="17"/>
        <w:tabs>
          <w:tab w:val="right" w:leader="dot" w:pos="8296"/>
        </w:tabs>
        <w:rPr>
          <w:rStyle w:val="33"/>
          <w:rFonts w:ascii="黑体" w:hAnsi="黑体" w:eastAsia="黑体"/>
          <w:b/>
        </w:rPr>
      </w:pPr>
      <w:r>
        <w:fldChar w:fldCharType="begin"/>
      </w:r>
      <w:r>
        <w:instrText xml:space="preserve"> HYPERLINK \l "_Toc23947188" </w:instrText>
      </w:r>
      <w:r>
        <w:fldChar w:fldCharType="separate"/>
      </w:r>
      <w:r>
        <w:rPr>
          <w:rStyle w:val="33"/>
          <w:rFonts w:hint="eastAsia" w:ascii="黑体" w:hAnsi="黑体" w:eastAsia="宋体"/>
        </w:rPr>
        <w:t>第十六章</w:t>
      </w:r>
      <w:r>
        <w:rPr>
          <w:rStyle w:val="33"/>
          <w:rFonts w:ascii="黑体" w:hAnsi="黑体" w:eastAsia="宋体"/>
        </w:rPr>
        <w:t xml:space="preserve"> </w:t>
      </w:r>
      <w:r>
        <w:rPr>
          <w:rStyle w:val="33"/>
          <w:rFonts w:hint="eastAsia" w:ascii="黑体" w:hAnsi="黑体" w:eastAsia="宋体"/>
        </w:rPr>
        <w:t>交易資訊提醒及期權基礎資訊介面檔說明</w:t>
      </w:r>
      <w:r>
        <w:rPr>
          <w:rStyle w:val="33"/>
          <w:rFonts w:ascii="黑体" w:hAnsi="黑体" w:eastAsia="黑体"/>
        </w:rPr>
        <w:tab/>
      </w:r>
      <w:r>
        <w:rPr>
          <w:rStyle w:val="33"/>
          <w:rFonts w:ascii="黑体" w:hAnsi="黑体" w:eastAsia="黑体"/>
          <w:b/>
        </w:rPr>
        <w:fldChar w:fldCharType="begin"/>
      </w:r>
      <w:r>
        <w:rPr>
          <w:rStyle w:val="33"/>
          <w:rFonts w:ascii="黑体" w:hAnsi="黑体" w:eastAsia="黑体"/>
        </w:rPr>
        <w:instrText xml:space="preserve"> PAGEREF _Toc23947188 \h </w:instrText>
      </w:r>
      <w:r>
        <w:rPr>
          <w:rStyle w:val="33"/>
          <w:rFonts w:ascii="黑体" w:hAnsi="黑体" w:eastAsia="黑体"/>
          <w:b/>
        </w:rPr>
        <w:fldChar w:fldCharType="separate"/>
      </w:r>
      <w:r>
        <w:rPr>
          <w:rStyle w:val="33"/>
          <w:rFonts w:ascii="黑体" w:hAnsi="黑体" w:eastAsia="宋体"/>
        </w:rPr>
        <w:t>84</w:t>
      </w:r>
      <w:r>
        <w:rPr>
          <w:rStyle w:val="33"/>
          <w:rFonts w:ascii="黑体" w:hAnsi="黑体" w:eastAsia="黑体"/>
          <w:b/>
        </w:rPr>
        <w:fldChar w:fldCharType="end"/>
      </w:r>
      <w:r>
        <w:rPr>
          <w:rStyle w:val="33"/>
          <w:rFonts w:ascii="黑体" w:hAnsi="黑体" w:eastAsia="黑体"/>
          <w:b/>
        </w:rPr>
        <w:fldChar w:fldCharType="end"/>
      </w:r>
    </w:p>
    <w:p>
      <w:pPr>
        <w:pStyle w:val="17"/>
        <w:tabs>
          <w:tab w:val="right" w:leader="dot" w:pos="8296"/>
        </w:tabs>
        <w:rPr>
          <w:rStyle w:val="33"/>
        </w:rPr>
      </w:pPr>
      <w:r>
        <w:fldChar w:fldCharType="begin"/>
      </w:r>
      <w:r>
        <w:instrText xml:space="preserve"> HYPERLINK \l "_Toc23947189" </w:instrText>
      </w:r>
      <w:r>
        <w:fldChar w:fldCharType="separate"/>
      </w:r>
      <w:r>
        <w:rPr>
          <w:rStyle w:val="33"/>
          <w:rFonts w:hint="eastAsia" w:eastAsia="宋体"/>
        </w:rPr>
        <w:t>一、交易資訊內容</w:t>
      </w:r>
      <w:r>
        <w:rPr>
          <w:rStyle w:val="33"/>
        </w:rPr>
        <w:tab/>
      </w:r>
      <w:r>
        <w:rPr>
          <w:rStyle w:val="33"/>
        </w:rPr>
        <w:fldChar w:fldCharType="begin"/>
      </w:r>
      <w:r>
        <w:rPr>
          <w:rStyle w:val="33"/>
        </w:rPr>
        <w:instrText xml:space="preserve"> PAGEREF _Toc23947189 \h </w:instrText>
      </w:r>
      <w:r>
        <w:rPr>
          <w:rStyle w:val="33"/>
        </w:rPr>
        <w:fldChar w:fldCharType="separate"/>
      </w:r>
      <w:r>
        <w:rPr>
          <w:rStyle w:val="33"/>
          <w:rFonts w:eastAsia="宋体"/>
        </w:rPr>
        <w:t>84</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"_Toc23947190" </w:instrText>
      </w:r>
      <w:r>
        <w:fldChar w:fldCharType="separate"/>
      </w:r>
      <w:r>
        <w:rPr>
          <w:rStyle w:val="33"/>
          <w:rFonts w:hint="eastAsia" w:eastAsia="宋体"/>
        </w:rPr>
        <w:t>二、資訊公告與提醒</w:t>
      </w:r>
      <w:r>
        <w:rPr>
          <w:rStyle w:val="33"/>
        </w:rPr>
        <w:tab/>
      </w:r>
      <w:r>
        <w:rPr>
          <w:rStyle w:val="33"/>
        </w:rPr>
        <w:fldChar w:fldCharType="begin"/>
      </w:r>
      <w:r>
        <w:rPr>
          <w:rStyle w:val="33"/>
        </w:rPr>
        <w:instrText xml:space="preserve"> PAGEREF _Toc23947190 \h </w:instrText>
      </w:r>
      <w:r>
        <w:rPr>
          <w:rStyle w:val="33"/>
        </w:rPr>
        <w:fldChar w:fldCharType="separate"/>
      </w:r>
      <w:r>
        <w:rPr>
          <w:rStyle w:val="33"/>
          <w:rFonts w:eastAsia="宋体"/>
        </w:rPr>
        <w:t>84</w:t>
      </w:r>
      <w:r>
        <w:rPr>
          <w:rStyle w:val="33"/>
        </w:rPr>
        <w:fldChar w:fldCharType="end"/>
      </w:r>
      <w:r>
        <w:rPr>
          <w:rStyle w:val="33"/>
        </w:rPr>
        <w:fldChar w:fldCharType="end"/>
      </w:r>
    </w:p>
    <w:p>
      <w:pPr>
        <w:pStyle w:val="17"/>
        <w:tabs>
          <w:tab w:val="right" w:leader="dot" w:pos="8296"/>
        </w:tabs>
        <w:rPr>
          <w:rStyle w:val="33"/>
        </w:rPr>
      </w:pPr>
      <w:r>
        <w:fldChar w:fldCharType="begin"/>
      </w:r>
      <w:r>
        <w:instrText xml:space="preserve"> HYPERLINK \l "_Toc23947191" </w:instrText>
      </w:r>
      <w:r>
        <w:fldChar w:fldCharType="separate"/>
      </w:r>
      <w:r>
        <w:rPr>
          <w:rStyle w:val="33"/>
          <w:rFonts w:hint="eastAsia" w:eastAsia="宋体"/>
        </w:rPr>
        <w:t>三、期權基礎資訊介面檔說明</w:t>
      </w:r>
      <w:r>
        <w:rPr>
          <w:rStyle w:val="33"/>
        </w:rPr>
        <w:tab/>
      </w:r>
      <w:r>
        <w:rPr>
          <w:rStyle w:val="33"/>
        </w:rPr>
        <w:fldChar w:fldCharType="begin"/>
      </w:r>
      <w:r>
        <w:rPr>
          <w:rStyle w:val="33"/>
        </w:rPr>
        <w:instrText xml:space="preserve"> PAGEREF _Toc23947191 \h </w:instrText>
      </w:r>
      <w:r>
        <w:rPr>
          <w:rStyle w:val="33"/>
        </w:rPr>
        <w:fldChar w:fldCharType="separate"/>
      </w:r>
      <w:r>
        <w:rPr>
          <w:rStyle w:val="33"/>
          <w:rFonts w:eastAsia="宋体"/>
        </w:rPr>
        <w:t>86</w:t>
      </w:r>
      <w:r>
        <w:rPr>
          <w:rStyle w:val="33"/>
        </w:rPr>
        <w:fldChar w:fldCharType="end"/>
      </w:r>
      <w:r>
        <w:rPr>
          <w:rStyle w:val="33"/>
        </w:rPr>
        <w:fldChar w:fldCharType="end"/>
      </w:r>
    </w:p>
    <w:p>
      <w:pPr>
        <w:pStyle w:val="17"/>
        <w:tabs>
          <w:tab w:val="right" w:leader="dot" w:pos="8296"/>
        </w:tabs>
        <w:rPr>
          <w:rStyle w:val="33"/>
          <w:rFonts w:ascii="黑体" w:hAnsi="黑体" w:eastAsia="黑体"/>
          <w:b/>
        </w:rPr>
      </w:pPr>
      <w:r>
        <w:fldChar w:fldCharType="begin"/>
      </w:r>
      <w:r>
        <w:instrText xml:space="preserve"> HYPERLINK \l "_Toc23947192" </w:instrText>
      </w:r>
      <w:r>
        <w:fldChar w:fldCharType="separate"/>
      </w:r>
      <w:r>
        <w:rPr>
          <w:rStyle w:val="33"/>
          <w:rFonts w:hint="eastAsia" w:ascii="黑体" w:hAnsi="黑体" w:eastAsia="宋体"/>
        </w:rPr>
        <w:t>第十七章</w:t>
      </w:r>
      <w:r>
        <w:rPr>
          <w:rStyle w:val="33"/>
          <w:rFonts w:ascii="黑体" w:hAnsi="黑体" w:eastAsia="宋体"/>
        </w:rPr>
        <w:t xml:space="preserve"> </w:t>
      </w:r>
      <w:r>
        <w:rPr>
          <w:rStyle w:val="33"/>
          <w:rFonts w:hint="eastAsia" w:ascii="黑体" w:hAnsi="黑体" w:eastAsia="宋体"/>
        </w:rPr>
        <w:t>投資者教育與客戶投訴處理</w:t>
      </w:r>
      <w:r>
        <w:rPr>
          <w:rStyle w:val="33"/>
          <w:rFonts w:ascii="黑体" w:hAnsi="黑体" w:eastAsia="黑体"/>
        </w:rPr>
        <w:tab/>
      </w:r>
      <w:r>
        <w:rPr>
          <w:rStyle w:val="33"/>
          <w:rFonts w:ascii="黑体" w:hAnsi="黑体" w:eastAsia="黑体"/>
          <w:b/>
        </w:rPr>
        <w:fldChar w:fldCharType="begin"/>
      </w:r>
      <w:r>
        <w:rPr>
          <w:rStyle w:val="33"/>
          <w:rFonts w:ascii="黑体" w:hAnsi="黑体" w:eastAsia="黑体"/>
        </w:rPr>
        <w:instrText xml:space="preserve"> PAGEREF _Toc23947192 \h </w:instrText>
      </w:r>
      <w:r>
        <w:rPr>
          <w:rStyle w:val="33"/>
          <w:rFonts w:ascii="黑体" w:hAnsi="黑体" w:eastAsia="黑体"/>
          <w:b/>
        </w:rPr>
        <w:fldChar w:fldCharType="separate"/>
      </w:r>
      <w:r>
        <w:rPr>
          <w:rStyle w:val="33"/>
          <w:rFonts w:ascii="黑体" w:hAnsi="黑体" w:eastAsia="宋体"/>
        </w:rPr>
        <w:t>88</w:t>
      </w:r>
      <w:r>
        <w:rPr>
          <w:rStyle w:val="33"/>
          <w:rFonts w:ascii="黑体" w:hAnsi="黑体" w:eastAsia="黑体"/>
          <w:b/>
        </w:rPr>
        <w:fldChar w:fldCharType="end"/>
      </w:r>
      <w:r>
        <w:rPr>
          <w:rStyle w:val="33"/>
          <w:rFonts w:ascii="黑体" w:hAnsi="黑体" w:eastAsia="黑体"/>
          <w:b/>
        </w:rP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"_Toc23947193" </w:instrText>
      </w:r>
      <w:r>
        <w:fldChar w:fldCharType="separate"/>
      </w:r>
      <w:r>
        <w:rPr>
          <w:rStyle w:val="33"/>
          <w:rFonts w:hint="eastAsia" w:eastAsia="宋体"/>
        </w:rPr>
        <w:t>一、投資者教育</w:t>
      </w:r>
      <w:r>
        <w:tab/>
      </w:r>
      <w:r>
        <w:fldChar w:fldCharType="begin"/>
      </w:r>
      <w:r>
        <w:instrText xml:space="preserve"> PAGEREF _Toc23947193 \h </w:instrText>
      </w:r>
      <w:r>
        <w:fldChar w:fldCharType="separate"/>
      </w:r>
      <w:r>
        <w:rPr>
          <w:rFonts w:eastAsia="宋体"/>
        </w:rPr>
        <w:t>88</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"_Toc23947194" </w:instrText>
      </w:r>
      <w:r>
        <w:fldChar w:fldCharType="separate"/>
      </w:r>
      <w:r>
        <w:rPr>
          <w:rStyle w:val="33"/>
          <w:rFonts w:hint="eastAsia" w:eastAsia="宋体"/>
        </w:rPr>
        <w:t>二、客戶投訴處理</w:t>
      </w:r>
      <w:r>
        <w:tab/>
      </w:r>
      <w:r>
        <w:fldChar w:fldCharType="begin"/>
      </w:r>
      <w:r>
        <w:instrText xml:space="preserve"> PAGEREF _Toc23947194 \h </w:instrText>
      </w:r>
      <w:r>
        <w:fldChar w:fldCharType="separate"/>
      </w:r>
      <w:r>
        <w:rPr>
          <w:rFonts w:eastAsia="宋体"/>
        </w:rPr>
        <w:t>89</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"_Toc23947195" </w:instrText>
      </w:r>
      <w:r>
        <w:fldChar w:fldCharType="separate"/>
      </w:r>
      <w:r>
        <w:rPr>
          <w:rStyle w:val="33"/>
          <w:rFonts w:hint="eastAsia" w:eastAsia="宋体"/>
        </w:rPr>
        <w:t>附件一：適當性綜合評估樣表</w:t>
      </w:r>
      <w:r>
        <w:tab/>
      </w:r>
      <w:r>
        <w:fldChar w:fldCharType="begin"/>
      </w:r>
      <w:r>
        <w:instrText xml:space="preserve"> PAGEREF _Toc23947195 \h </w:instrText>
      </w:r>
      <w:r>
        <w:fldChar w:fldCharType="separate"/>
      </w:r>
      <w:r>
        <w:rPr>
          <w:rFonts w:eastAsia="宋体"/>
        </w:rPr>
        <w:t>92</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"_Toc23947197" </w:instrText>
      </w:r>
      <w:r>
        <w:fldChar w:fldCharType="separate"/>
      </w:r>
      <w:r>
        <w:rPr>
          <w:rStyle w:val="33"/>
          <w:rFonts w:hint="eastAsia" w:eastAsia="宋体"/>
        </w:rPr>
        <w:t>附件二：股票期權業務程式交易報備表</w:t>
      </w:r>
      <w:r>
        <w:tab/>
      </w:r>
      <w:r>
        <w:fldChar w:fldCharType="begin"/>
      </w:r>
      <w:r>
        <w:instrText xml:space="preserve"> PAGEREF _Toc23947197 \h </w:instrText>
      </w:r>
      <w:r>
        <w:fldChar w:fldCharType="separate"/>
      </w:r>
      <w:r>
        <w:rPr>
          <w:rFonts w:eastAsia="宋体"/>
        </w:rPr>
        <w:t>93</w:t>
      </w:r>
      <w:r>
        <w:fldChar w:fldCharType="end"/>
      </w:r>
      <w:r>
        <w:fldChar w:fldCharType="end"/>
      </w:r>
    </w:p>
    <w:p>
      <w:pPr>
        <w:pStyle w:val="17"/>
        <w:tabs>
          <w:tab w:val="right" w:leader="dot" w:pos="8296"/>
        </w:tabs>
        <w:rPr>
          <w:rFonts w:asciiTheme="minorHAnsi" w:hAnsiTheme="minorHAnsi" w:eastAsiaTheme="minorEastAsia" w:cstheme="minorBidi"/>
        </w:rPr>
      </w:pPr>
      <w:r>
        <w:fldChar w:fldCharType="begin"/>
      </w:r>
      <w:r>
        <w:instrText xml:space="preserve"> HYPERLINK \l "_Toc23947199" </w:instrText>
      </w:r>
      <w:r>
        <w:fldChar w:fldCharType="separate"/>
      </w:r>
      <w:r>
        <w:rPr>
          <w:rStyle w:val="33"/>
          <w:rFonts w:hint="eastAsia" w:eastAsia="宋体"/>
        </w:rPr>
        <w:t>附件三：大戶持倉報告表</w:t>
      </w:r>
      <w:r>
        <w:tab/>
      </w:r>
      <w:r>
        <w:fldChar w:fldCharType="begin"/>
      </w:r>
      <w:r>
        <w:instrText xml:space="preserve"> PAGEREF _Toc23947199 \h </w:instrText>
      </w:r>
      <w:r>
        <w:fldChar w:fldCharType="separate"/>
      </w:r>
      <w:r>
        <w:rPr>
          <w:rFonts w:eastAsia="宋体"/>
        </w:rPr>
        <w:t>97</w:t>
      </w:r>
      <w:r>
        <w:fldChar w:fldCharType="end"/>
      </w:r>
      <w:r>
        <w:fldChar w:fldCharType="end"/>
      </w:r>
    </w:p>
    <w:p>
      <w:pPr>
        <w:pStyle w:val="17"/>
        <w:tabs>
          <w:tab w:val="right" w:leader="dot" w:pos="8296"/>
        </w:tabs>
        <w:rPr>
          <w:rStyle w:val="33"/>
        </w:rPr>
      </w:pPr>
      <w:r>
        <w:rPr>
          <w:color w:val="337AB7"/>
        </w:rPr>
        <w:fldChar w:fldCharType="end"/>
      </w:r>
    </w:p>
    <w:p>
      <w:pPr>
        <w:pStyle w:val="2"/>
        <w:jc w:val="center"/>
        <w:rPr>
          <w:rFonts w:ascii="黑体" w:hAnsi="黑体" w:eastAsia="黑体"/>
          <w:sz w:val="32"/>
          <w:szCs w:val="32"/>
        </w:rPr>
      </w:pPr>
      <w:bookmarkStart w:id="0" w:name="_Toc148"/>
      <w:bookmarkStart w:id="1" w:name="_Toc25523"/>
      <w:bookmarkStart w:id="2" w:name="_Toc11823"/>
      <w:bookmarkStart w:id="3" w:name="_Toc452016991"/>
      <w:bookmarkStart w:id="4" w:name="_Toc408749972"/>
    </w:p>
    <w:p>
      <w:pPr>
        <w:rPr>
          <w:rFonts w:ascii="黑体" w:hAnsi="黑体" w:eastAsia="黑体"/>
          <w:sz w:val="32"/>
          <w:szCs w:val="32"/>
        </w:rPr>
      </w:pPr>
    </w:p>
    <w:p>
      <w:pPr>
        <w:rPr>
          <w:rFonts w:ascii="黑体" w:hAnsi="黑体" w:eastAsia="黑体"/>
          <w:sz w:val="32"/>
          <w:szCs w:val="32"/>
        </w:rPr>
      </w:pPr>
    </w:p>
    <w:p>
      <w:pPr>
        <w:pStyle w:val="2"/>
        <w:jc w:val="center"/>
        <w:rPr>
          <w:rFonts w:ascii="黑体" w:hAnsi="黑体" w:eastAsia="黑体"/>
          <w:sz w:val="32"/>
          <w:szCs w:val="32"/>
        </w:rPr>
      </w:pPr>
      <w:bookmarkStart w:id="5" w:name="_Toc23947127"/>
      <w:r>
        <w:rPr>
          <w:rFonts w:hint="eastAsia" w:ascii="黑体" w:hAnsi="黑体" w:eastAsia="宋体"/>
          <w:sz w:val="32"/>
          <w:szCs w:val="32"/>
        </w:rPr>
        <w:t>證券公司股票期權經紀業務指南</w:t>
      </w:r>
      <w:bookmarkEnd w:id="0"/>
      <w:bookmarkEnd w:id="1"/>
      <w:bookmarkEnd w:id="2"/>
      <w:bookmarkEnd w:id="3"/>
      <w:bookmarkEnd w:id="4"/>
      <w:bookmarkEnd w:id="5"/>
    </w:p>
    <w:p>
      <w:pPr>
        <w:pStyle w:val="2"/>
        <w:jc w:val="center"/>
        <w:rPr>
          <w:rFonts w:ascii="黑体" w:hAnsi="黑体" w:eastAsia="黑体"/>
          <w:sz w:val="32"/>
          <w:szCs w:val="32"/>
        </w:rPr>
      </w:pPr>
      <w:bookmarkStart w:id="6" w:name="_Toc408665026"/>
      <w:bookmarkStart w:id="7" w:name="_Toc26697"/>
      <w:bookmarkStart w:id="8" w:name="_Toc16641"/>
      <w:bookmarkStart w:id="9" w:name="_Toc452016992"/>
      <w:bookmarkStart w:id="10" w:name="_Toc21159"/>
      <w:bookmarkStart w:id="11" w:name="_Toc23947128"/>
      <w:bookmarkStart w:id="12" w:name="_Toc408749973"/>
      <w:r>
        <w:rPr>
          <w:rFonts w:hint="eastAsia" w:ascii="黑体" w:hAnsi="黑体" w:eastAsia="宋体"/>
          <w:sz w:val="32"/>
          <w:szCs w:val="32"/>
        </w:rPr>
        <w:t>說明及聲明</w:t>
      </w:r>
      <w:bookmarkEnd w:id="6"/>
      <w:bookmarkEnd w:id="7"/>
      <w:bookmarkEnd w:id="8"/>
      <w:bookmarkEnd w:id="9"/>
      <w:bookmarkEnd w:id="10"/>
      <w:bookmarkEnd w:id="11"/>
      <w:bookmarkEnd w:id="12"/>
    </w:p>
    <w:p>
      <w:pPr>
        <w:ind w:firstLine="529" w:firstLineChars="189"/>
        <w:rPr>
          <w:rFonts w:ascii="仿宋_GB2312" w:hAnsi="宋体" w:eastAsia="仿宋_GB2312"/>
          <w:sz w:val="28"/>
          <w:szCs w:val="28"/>
        </w:rPr>
      </w:pPr>
      <w:r>
        <w:rPr>
          <w:rFonts w:hint="eastAsia" w:ascii="仿宋_GB2312" w:hAnsi="宋体" w:eastAsia="宋体"/>
          <w:sz w:val="28"/>
          <w:szCs w:val="28"/>
        </w:rPr>
        <w:t>為便於證券公司參與上海證券交易所（以下簡稱“本所”）股票期權業務，規範開展股票期權經紀業務，有效防範業務風險，根據《上海證券交易所股票期權試點交易規則》(以下簡稱“《交易規則》”)、《上海證券交易所股票期權試點投資者適當性管理指引》、《上海證券交易所、中國證券登記結算有限責任公司股票期權試點風險控制管理辦法》、《中國證券登記結算有限責任公司關於上海證券交易所股票期權試點結算規則》等，制定本指南，供證券公司開展股票期權經紀業務時參考。本指南如有內容與本所股票期權業務規則不一致，以本所股票期權業務規則為准。</w:t>
      </w:r>
    </w:p>
    <w:p>
      <w:pPr>
        <w:pStyle w:val="91"/>
        <w:ind w:firstLine="560" w:firstLineChars="200"/>
        <w:rPr>
          <w:rFonts w:ascii="仿宋_GB2312" w:hAnsi="宋体" w:eastAsia="仿宋_GB2312" w:cs="Times New Roman"/>
          <w:color w:val="auto"/>
          <w:kern w:val="2"/>
          <w:sz w:val="28"/>
          <w:szCs w:val="28"/>
        </w:rPr>
      </w:pPr>
      <w:r>
        <w:rPr>
          <w:rFonts w:hint="eastAsia" w:ascii="仿宋_GB2312" w:hAnsi="宋体" w:eastAsia="宋体" w:cs="Times New Roman"/>
          <w:color w:val="auto"/>
          <w:kern w:val="2"/>
          <w:sz w:val="28"/>
          <w:szCs w:val="28"/>
        </w:rPr>
        <w:t>證券公司與客戶之間經紀業務關係以其與客戶簽訂的經紀合同中約定為准，本指南不作為處理相關糾紛的依據。</w:t>
      </w:r>
      <w:r>
        <w:rPr>
          <w:rFonts w:hint="eastAsia" w:ascii="仿宋_GB2312" w:eastAsia="宋体"/>
          <w:sz w:val="28"/>
          <w:szCs w:val="28"/>
        </w:rPr>
        <w:t>上交所將根據股票期權業務的進展情況，對本指南進行持續更新和調整。</w:t>
      </w:r>
    </w:p>
    <w:p>
      <w:pPr>
        <w:pStyle w:val="91"/>
        <w:ind w:firstLine="560" w:firstLineChars="200"/>
        <w:rPr>
          <w:rFonts w:ascii="仿宋_GB2312" w:hAnsi="宋体" w:eastAsia="仿宋_GB2312" w:cs="Times New Roman"/>
          <w:color w:val="auto"/>
          <w:kern w:val="2"/>
          <w:sz w:val="28"/>
          <w:szCs w:val="28"/>
        </w:rPr>
      </w:pPr>
    </w:p>
    <w:p>
      <w:pPr>
        <w:pStyle w:val="2"/>
        <w:spacing w:line="240" w:lineRule="auto"/>
        <w:jc w:val="center"/>
        <w:rPr>
          <w:rFonts w:ascii="黑体" w:hAnsi="黑体" w:eastAsia="黑体"/>
          <w:sz w:val="32"/>
          <w:szCs w:val="32"/>
        </w:rPr>
      </w:pPr>
      <w:bookmarkStart w:id="13" w:name="_Toc408749974"/>
      <w:bookmarkStart w:id="14" w:name="_Toc2961"/>
      <w:bookmarkStart w:id="15" w:name="_Toc406439132"/>
      <w:bookmarkStart w:id="16" w:name="_Toc30360"/>
      <w:bookmarkStart w:id="17" w:name="_Toc475"/>
      <w:bookmarkStart w:id="18" w:name="_Toc406438871"/>
      <w:bookmarkStart w:id="19" w:name="_Toc406438947"/>
      <w:bookmarkStart w:id="20" w:name="_Toc406436498"/>
      <w:bookmarkStart w:id="21" w:name="_Toc452016993"/>
      <w:bookmarkStart w:id="22" w:name="_Toc23947129"/>
      <w:r>
        <w:rPr>
          <w:rFonts w:hint="eastAsia" w:ascii="黑体" w:hAnsi="黑体" w:eastAsia="宋体"/>
          <w:kern w:val="2"/>
          <w:sz w:val="32"/>
          <w:szCs w:val="32"/>
        </w:rPr>
        <w:t>第一章 總體要求</w:t>
      </w:r>
      <w:bookmarkEnd w:id="13"/>
      <w:bookmarkEnd w:id="14"/>
      <w:bookmarkEnd w:id="15"/>
      <w:bookmarkEnd w:id="16"/>
      <w:bookmarkEnd w:id="17"/>
      <w:bookmarkEnd w:id="18"/>
      <w:bookmarkEnd w:id="19"/>
      <w:bookmarkEnd w:id="20"/>
      <w:bookmarkEnd w:id="21"/>
      <w:bookmarkEnd w:id="22"/>
    </w:p>
    <w:p>
      <w:pPr>
        <w:spacing w:beforeLines="50" w:afterLines="50"/>
        <w:ind w:firstLine="560" w:firstLineChars="200"/>
        <w:rPr>
          <w:rFonts w:ascii="仿宋_GB2312" w:hAnsi="宋体" w:eastAsia="仿宋_GB2312"/>
          <w:sz w:val="28"/>
          <w:szCs w:val="28"/>
        </w:rPr>
      </w:pPr>
      <w:r>
        <w:rPr>
          <w:rFonts w:hint="eastAsia" w:ascii="仿宋_GB2312" w:hAnsi="宋体" w:eastAsia="宋体"/>
          <w:sz w:val="28"/>
          <w:szCs w:val="28"/>
        </w:rPr>
        <w:t>證券公司應當根據本所股票期權業務相關規則，制定股票期權經紀業務交易、結算、風險控制等內部制度。證券公司應當合理設置期權業務的組織架構，明確期權經紀業務部門和各相關部門、分支機構的職責分工，並設置相關崗位，配備相關人員。</w:t>
      </w:r>
    </w:p>
    <w:p>
      <w:pPr>
        <w:pStyle w:val="2"/>
        <w:spacing w:line="240" w:lineRule="auto"/>
        <w:ind w:firstLine="562" w:firstLineChars="200"/>
        <w:rPr>
          <w:szCs w:val="28"/>
        </w:rPr>
      </w:pPr>
      <w:bookmarkStart w:id="23" w:name="_Toc406438872"/>
      <w:bookmarkStart w:id="24" w:name="_Toc408749975"/>
      <w:bookmarkStart w:id="25" w:name="_Toc26508"/>
      <w:bookmarkStart w:id="26" w:name="_Toc30383"/>
      <w:bookmarkStart w:id="27" w:name="_Toc11152"/>
      <w:bookmarkStart w:id="28" w:name="_Toc452016994"/>
      <w:bookmarkStart w:id="29" w:name="_Toc23947130"/>
      <w:r>
        <w:rPr>
          <w:rFonts w:hint="eastAsia" w:eastAsia="宋体"/>
          <w:szCs w:val="28"/>
        </w:rPr>
        <w:t>一、組織架構和職責分工</w:t>
      </w:r>
      <w:bookmarkEnd w:id="23"/>
      <w:bookmarkEnd w:id="24"/>
      <w:bookmarkEnd w:id="25"/>
      <w:bookmarkEnd w:id="26"/>
      <w:bookmarkEnd w:id="27"/>
      <w:bookmarkEnd w:id="28"/>
      <w:bookmarkEnd w:id="29"/>
    </w:p>
    <w:p>
      <w:pPr>
        <w:ind w:firstLine="562" w:firstLineChars="200"/>
        <w:rPr>
          <w:rFonts w:ascii="仿宋_GB2312" w:eastAsia="仿宋_GB2312"/>
          <w:b/>
          <w:sz w:val="28"/>
          <w:szCs w:val="28"/>
        </w:rPr>
      </w:pPr>
      <w:bookmarkStart w:id="30" w:name="_Toc406438873"/>
      <w:r>
        <w:rPr>
          <w:rFonts w:hint="eastAsia" w:ascii="仿宋_GB2312" w:eastAsia="宋体"/>
          <w:b/>
          <w:sz w:val="28"/>
          <w:szCs w:val="28"/>
        </w:rPr>
        <w:t>（一）公司總部</w:t>
      </w:r>
      <w:bookmarkEnd w:id="30"/>
    </w:p>
    <w:p>
      <w:pPr>
        <w:widowControl/>
        <w:ind w:firstLine="560" w:firstLineChars="200"/>
        <w:jc w:val="left"/>
        <w:rPr>
          <w:rFonts w:ascii="仿宋_GB2312" w:hAnsi="宋体" w:eastAsia="仿宋_GB2312" w:cs="宋体"/>
          <w:kern w:val="0"/>
          <w:sz w:val="28"/>
          <w:szCs w:val="28"/>
        </w:rPr>
      </w:pPr>
      <w:r>
        <w:rPr>
          <w:rFonts w:hint="eastAsia" w:ascii="仿宋_GB2312" w:hAnsi="宋体" w:eastAsia="宋体" w:cs="宋体"/>
          <w:kern w:val="0"/>
          <w:sz w:val="28"/>
          <w:szCs w:val="28"/>
        </w:rPr>
        <w:t>證券公司股票期權經紀業務由公司總部統一集中管理。公司總部應設立獨立的股票期權經紀業務部門（一級或二級部門），部門職責包括但不限於業務制度與流程制定、業務統籌規劃、運營管理、風險管理、投資者適當性管理、客戶關係管理、投資者教育等，並對分支機構開展股票期權業務進行管理和持續督導。</w:t>
      </w:r>
    </w:p>
    <w:p>
      <w:pPr>
        <w:widowControl/>
        <w:ind w:firstLine="560" w:firstLineChars="200"/>
        <w:jc w:val="left"/>
        <w:rPr>
          <w:rFonts w:ascii="仿宋_GB2312" w:hAnsi="宋体" w:eastAsia="仿宋_GB2312" w:cs="宋体"/>
          <w:kern w:val="0"/>
          <w:sz w:val="28"/>
          <w:szCs w:val="28"/>
        </w:rPr>
      </w:pPr>
      <w:r>
        <w:rPr>
          <w:rFonts w:hint="eastAsia" w:ascii="仿宋_GB2312" w:hAnsi="宋体" w:eastAsia="宋体" w:cs="宋体"/>
          <w:kern w:val="0"/>
          <w:sz w:val="28"/>
          <w:szCs w:val="28"/>
        </w:rPr>
        <w:t>公司總部其他相關部門應承擔與股票期權經紀業務相關的職責，包括但不限於合規管理、風險控制、資金清算、技術系統的開發與維護等。</w:t>
      </w:r>
    </w:p>
    <w:p>
      <w:pPr>
        <w:widowControl/>
        <w:ind w:firstLine="560" w:firstLineChars="200"/>
        <w:jc w:val="left"/>
        <w:rPr>
          <w:rFonts w:ascii="仿宋_GB2312" w:hAnsi="宋体" w:eastAsia="仿宋_GB2312" w:cs="宋体"/>
          <w:kern w:val="0"/>
          <w:sz w:val="28"/>
          <w:szCs w:val="28"/>
        </w:rPr>
      </w:pPr>
      <w:r>
        <w:rPr>
          <w:rFonts w:hint="eastAsia" w:ascii="仿宋_GB2312" w:hAnsi="宋体" w:eastAsia="宋体" w:cs="宋体"/>
          <w:kern w:val="0"/>
          <w:sz w:val="28"/>
          <w:szCs w:val="28"/>
        </w:rPr>
        <w:t>證券公司從事股票期權經紀業務的，應當建立健全並有效執行資訊隔離制度，與自營、做市、資產管理等其他期權業務進行有效隔離，防止敏感資訊的不當流動和使用，嚴格防範損害客戶利益。</w:t>
      </w:r>
    </w:p>
    <w:p>
      <w:pPr>
        <w:ind w:firstLine="562" w:firstLineChars="200"/>
        <w:rPr>
          <w:rFonts w:ascii="仿宋_GB2312" w:eastAsia="仿宋_GB2312"/>
          <w:b/>
          <w:sz w:val="28"/>
          <w:szCs w:val="28"/>
        </w:rPr>
      </w:pPr>
      <w:bookmarkStart w:id="31" w:name="_Toc406438874"/>
      <w:r>
        <w:rPr>
          <w:rFonts w:hint="eastAsia" w:ascii="仿宋_GB2312" w:eastAsia="宋体"/>
          <w:b/>
          <w:sz w:val="28"/>
          <w:szCs w:val="28"/>
        </w:rPr>
        <w:t>（二）分支機構</w:t>
      </w:r>
      <w:bookmarkEnd w:id="31"/>
    </w:p>
    <w:p>
      <w:pPr>
        <w:widowControl/>
        <w:ind w:firstLine="555"/>
        <w:jc w:val="left"/>
        <w:rPr>
          <w:rFonts w:ascii="仿宋_GB2312" w:hAnsi="宋体" w:eastAsia="仿宋_GB2312" w:cs="宋体"/>
          <w:kern w:val="0"/>
          <w:sz w:val="28"/>
          <w:szCs w:val="28"/>
        </w:rPr>
      </w:pPr>
      <w:r>
        <w:rPr>
          <w:rFonts w:hint="eastAsia" w:ascii="仿宋_GB2312" w:hAnsi="宋体" w:eastAsia="宋体" w:cs="宋体"/>
          <w:kern w:val="0"/>
          <w:sz w:val="28"/>
          <w:szCs w:val="28"/>
        </w:rPr>
        <w:t>分支機構應在公司授權範圍內規範開展股票期權經紀業務，負責本分支機構投資者衍生品相關帳戶開立與日常管理、資訊收集、投資者教育、投訴處理等工作，並協助總部落實本分支機構的投資者適當性管理、檔案管理、風險管理等工作。</w:t>
      </w:r>
    </w:p>
    <w:p>
      <w:pPr>
        <w:pStyle w:val="2"/>
        <w:spacing w:line="240" w:lineRule="auto"/>
        <w:ind w:firstLine="562" w:firstLineChars="200"/>
        <w:jc w:val="both"/>
        <w:rPr>
          <w:szCs w:val="28"/>
        </w:rPr>
      </w:pPr>
      <w:bookmarkStart w:id="32" w:name="_Toc406438875"/>
      <w:bookmarkStart w:id="33" w:name="_Toc408749976"/>
      <w:bookmarkStart w:id="34" w:name="_Toc4709"/>
      <w:bookmarkStart w:id="35" w:name="_Toc27902"/>
      <w:bookmarkStart w:id="36" w:name="_Toc7274"/>
      <w:bookmarkStart w:id="37" w:name="_Toc452016995"/>
      <w:bookmarkStart w:id="38" w:name="_Toc23947131"/>
      <w:r>
        <w:rPr>
          <w:rFonts w:hint="eastAsia" w:eastAsia="宋体"/>
          <w:szCs w:val="28"/>
        </w:rPr>
        <w:t>二、崗位設置</w:t>
      </w:r>
      <w:bookmarkEnd w:id="32"/>
      <w:bookmarkEnd w:id="33"/>
      <w:bookmarkEnd w:id="34"/>
      <w:bookmarkEnd w:id="35"/>
      <w:bookmarkEnd w:id="36"/>
      <w:bookmarkEnd w:id="37"/>
      <w:bookmarkEnd w:id="38"/>
    </w:p>
    <w:p>
      <w:pPr>
        <w:ind w:firstLine="562" w:firstLineChars="200"/>
        <w:rPr>
          <w:rFonts w:ascii="仿宋_GB2312" w:eastAsia="仿宋_GB2312"/>
          <w:b/>
          <w:sz w:val="28"/>
          <w:szCs w:val="28"/>
        </w:rPr>
      </w:pPr>
      <w:bookmarkStart w:id="39" w:name="_Toc406438876"/>
      <w:r>
        <w:rPr>
          <w:rFonts w:hint="eastAsia" w:ascii="仿宋_GB2312" w:eastAsia="宋体"/>
          <w:b/>
          <w:sz w:val="28"/>
          <w:szCs w:val="28"/>
        </w:rPr>
        <w:t>（一）公司總部</w:t>
      </w:r>
      <w:bookmarkEnd w:id="39"/>
    </w:p>
    <w:p>
      <w:pPr>
        <w:widowControl/>
        <w:spacing w:before="120" w:after="120"/>
        <w:ind w:firstLine="555"/>
        <w:jc w:val="left"/>
        <w:rPr>
          <w:rFonts w:ascii="仿宋_GB2312" w:hAnsi="宋体" w:eastAsia="仿宋_GB2312" w:cs="宋体"/>
          <w:kern w:val="0"/>
          <w:sz w:val="28"/>
          <w:szCs w:val="28"/>
        </w:rPr>
      </w:pPr>
      <w:r>
        <w:rPr>
          <w:rFonts w:hint="eastAsia" w:ascii="仿宋_GB2312" w:hAnsi="宋体" w:eastAsia="宋体" w:cs="宋体"/>
          <w:kern w:val="0"/>
          <w:sz w:val="28"/>
          <w:szCs w:val="28"/>
        </w:rPr>
        <w:t>為確保業務平穩運行，股票期權經紀業務部門建議至少設立以下崗位:</w:t>
      </w:r>
    </w:p>
    <w:p>
      <w:pPr>
        <w:widowControl/>
        <w:spacing w:before="120" w:after="120"/>
        <w:ind w:firstLine="565" w:firstLineChars="202"/>
        <w:jc w:val="left"/>
        <w:rPr>
          <w:rFonts w:ascii="仿宋_GB2312" w:hAnsi="宋体" w:eastAsia="仿宋_GB2312" w:cs="宋体"/>
          <w:kern w:val="0"/>
          <w:sz w:val="28"/>
          <w:szCs w:val="28"/>
        </w:rPr>
      </w:pPr>
      <w:r>
        <w:rPr>
          <w:rFonts w:hint="eastAsia" w:ascii="仿宋_GB2312" w:hAnsi="宋体" w:eastAsia="宋体" w:cs="宋体"/>
          <w:kern w:val="0"/>
          <w:sz w:val="28"/>
          <w:szCs w:val="28"/>
        </w:rPr>
        <w:t>1、客戶適當性管理崗，主要職責包括投資者適當性綜合評估、分級管理、額度核定與調整、持續適當性評估等；</w:t>
      </w:r>
    </w:p>
    <w:p>
      <w:pPr>
        <w:widowControl/>
        <w:spacing w:before="120" w:after="120"/>
        <w:ind w:firstLine="565" w:firstLineChars="202"/>
        <w:jc w:val="left"/>
        <w:rPr>
          <w:rFonts w:ascii="仿宋_GB2312" w:hAnsi="宋体" w:eastAsia="仿宋_GB2312" w:cs="宋体"/>
          <w:kern w:val="0"/>
          <w:sz w:val="28"/>
          <w:szCs w:val="28"/>
        </w:rPr>
      </w:pPr>
      <w:r>
        <w:rPr>
          <w:rFonts w:hint="eastAsia" w:ascii="仿宋_GB2312" w:hAnsi="宋体" w:eastAsia="宋体" w:cs="宋体"/>
          <w:kern w:val="0"/>
          <w:sz w:val="28"/>
          <w:szCs w:val="28"/>
        </w:rPr>
        <w:t>2、合規與風險管理崗，主要職責包括對公司期權業務合規審查、風險總控管理等；</w:t>
      </w:r>
    </w:p>
    <w:p>
      <w:pPr>
        <w:widowControl/>
        <w:spacing w:before="120" w:after="120"/>
        <w:ind w:firstLine="555"/>
        <w:jc w:val="left"/>
        <w:rPr>
          <w:rFonts w:ascii="仿宋_GB2312" w:hAnsi="宋体" w:eastAsia="仿宋_GB2312" w:cs="宋体"/>
          <w:kern w:val="0"/>
          <w:sz w:val="28"/>
          <w:szCs w:val="28"/>
        </w:rPr>
      </w:pPr>
      <w:r>
        <w:rPr>
          <w:rFonts w:hint="eastAsia" w:ascii="仿宋_GB2312" w:hAnsi="宋体" w:eastAsia="宋体" w:cs="宋体"/>
          <w:kern w:val="0"/>
          <w:sz w:val="28"/>
          <w:szCs w:val="28"/>
        </w:rPr>
        <w:t>3、風險監控崗，主要職責包括盤中交易風險、保證金風險、持倉風險等即時動態監控等；</w:t>
      </w:r>
    </w:p>
    <w:p>
      <w:pPr>
        <w:widowControl/>
        <w:spacing w:before="120" w:after="120"/>
        <w:ind w:firstLine="555"/>
        <w:jc w:val="left"/>
        <w:rPr>
          <w:rFonts w:ascii="仿宋_GB2312" w:hAnsi="宋体" w:eastAsia="仿宋_GB2312" w:cs="宋体"/>
          <w:kern w:val="0"/>
          <w:sz w:val="28"/>
          <w:szCs w:val="28"/>
        </w:rPr>
      </w:pPr>
      <w:r>
        <w:rPr>
          <w:rFonts w:hint="eastAsia" w:ascii="仿宋_GB2312" w:hAnsi="宋体" w:eastAsia="宋体" w:cs="宋体"/>
          <w:kern w:val="0"/>
          <w:sz w:val="28"/>
          <w:szCs w:val="28"/>
        </w:rPr>
        <w:t>4、風險處置崗，主要職責包括風險警示與平倉通知、強行平倉、違約處置等；</w:t>
      </w:r>
    </w:p>
    <w:p>
      <w:pPr>
        <w:widowControl/>
        <w:spacing w:before="120" w:after="120"/>
        <w:ind w:firstLine="555"/>
        <w:jc w:val="left"/>
        <w:rPr>
          <w:rFonts w:ascii="仿宋_GB2312" w:hAnsi="宋体" w:eastAsia="仿宋_GB2312" w:cs="宋体"/>
          <w:kern w:val="0"/>
          <w:sz w:val="28"/>
          <w:szCs w:val="28"/>
        </w:rPr>
      </w:pPr>
      <w:r>
        <w:rPr>
          <w:rFonts w:hint="eastAsia" w:ascii="仿宋_GB2312" w:hAnsi="宋体" w:eastAsia="宋体" w:cs="宋体"/>
          <w:kern w:val="0"/>
          <w:sz w:val="28"/>
          <w:szCs w:val="28"/>
        </w:rPr>
        <w:t>5、運行管理崗，主要職責包括業務流程管理、合約管理、參數管理等；</w:t>
      </w:r>
    </w:p>
    <w:p>
      <w:pPr>
        <w:widowControl/>
        <w:spacing w:before="120" w:after="120"/>
        <w:ind w:firstLine="555"/>
        <w:jc w:val="left"/>
        <w:rPr>
          <w:rFonts w:ascii="仿宋_GB2312" w:hAnsi="宋体" w:eastAsia="仿宋_GB2312" w:cs="宋体"/>
          <w:kern w:val="0"/>
          <w:sz w:val="28"/>
          <w:szCs w:val="28"/>
        </w:rPr>
      </w:pPr>
      <w:r>
        <w:rPr>
          <w:rFonts w:hint="eastAsia" w:ascii="仿宋_GB2312" w:hAnsi="宋体" w:eastAsia="宋体" w:cs="宋体"/>
          <w:kern w:val="0"/>
          <w:sz w:val="28"/>
          <w:szCs w:val="28"/>
        </w:rPr>
        <w:t>6、投資者教育崗，主要職責包括統籌、規劃、安排全公司及各分支機構的股票期權投資者教育工作；</w:t>
      </w:r>
    </w:p>
    <w:p>
      <w:pPr>
        <w:widowControl/>
        <w:spacing w:before="120" w:after="120"/>
        <w:ind w:firstLine="555"/>
        <w:jc w:val="left"/>
        <w:rPr>
          <w:rFonts w:ascii="仿宋_GB2312" w:hAnsi="宋体" w:eastAsia="仿宋_GB2312" w:cs="宋体"/>
          <w:kern w:val="0"/>
          <w:sz w:val="28"/>
          <w:szCs w:val="28"/>
        </w:rPr>
      </w:pPr>
      <w:r>
        <w:rPr>
          <w:rFonts w:hint="eastAsia" w:ascii="仿宋_GB2312" w:hAnsi="宋体" w:eastAsia="宋体" w:cs="宋体"/>
          <w:kern w:val="0"/>
          <w:sz w:val="28"/>
          <w:szCs w:val="28"/>
        </w:rPr>
        <w:t>7、資金管理崗，主要職責包括資金盯市、（發起）資金調度、客戶資金流動性分析與管理、客戶保證金缺口計算與墊資管理等。</w:t>
      </w:r>
    </w:p>
    <w:p>
      <w:pPr>
        <w:widowControl/>
        <w:spacing w:before="120" w:after="120"/>
        <w:ind w:firstLine="555"/>
        <w:jc w:val="left"/>
        <w:rPr>
          <w:rFonts w:ascii="仿宋_GB2312" w:eastAsia="仿宋_GB2312"/>
          <w:sz w:val="28"/>
          <w:szCs w:val="28"/>
        </w:rPr>
      </w:pPr>
      <w:r>
        <w:rPr>
          <w:rFonts w:hint="eastAsia" w:ascii="仿宋_GB2312" w:eastAsia="宋体"/>
          <w:sz w:val="28"/>
          <w:szCs w:val="28"/>
        </w:rPr>
        <w:t>對重點崗位如風險監控崗、風險處置崗、運行管理崗等，建立備崗制度。</w:t>
      </w:r>
    </w:p>
    <w:p>
      <w:pPr>
        <w:widowControl/>
        <w:spacing w:before="120" w:after="120"/>
        <w:ind w:firstLine="555"/>
        <w:jc w:val="left"/>
        <w:rPr>
          <w:rFonts w:ascii="仿宋_GB2312" w:hAnsi="宋体" w:eastAsia="仿宋_GB2312" w:cs="宋体"/>
          <w:kern w:val="0"/>
          <w:sz w:val="28"/>
          <w:szCs w:val="28"/>
        </w:rPr>
      </w:pPr>
      <w:r>
        <w:rPr>
          <w:rFonts w:hint="eastAsia" w:ascii="仿宋_GB2312" w:hAnsi="宋体" w:eastAsia="宋体" w:cs="宋体"/>
          <w:kern w:val="0"/>
          <w:sz w:val="28"/>
          <w:szCs w:val="28"/>
        </w:rPr>
        <w:t>總部其他相關部門應就期權經紀業務的風險管理、合規管理、清算與資金管理、技術開發等設立相關崗位。</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股票期權經紀業務部門與總部其他相關部門應明確各崗位的權責關係，保障期權經紀業務有序、平穩開展。</w:t>
      </w:r>
    </w:p>
    <w:p>
      <w:pPr>
        <w:ind w:firstLine="562" w:firstLineChars="200"/>
        <w:rPr>
          <w:rFonts w:ascii="仿宋_GB2312" w:eastAsia="仿宋_GB2312"/>
          <w:b/>
          <w:sz w:val="28"/>
          <w:szCs w:val="28"/>
        </w:rPr>
      </w:pPr>
      <w:bookmarkStart w:id="40" w:name="_Toc406438877"/>
      <w:r>
        <w:rPr>
          <w:rFonts w:hint="eastAsia" w:ascii="仿宋_GB2312" w:eastAsia="宋体"/>
          <w:b/>
          <w:sz w:val="28"/>
          <w:szCs w:val="28"/>
        </w:rPr>
        <w:t>（二）分支機構</w:t>
      </w:r>
      <w:bookmarkEnd w:id="40"/>
    </w:p>
    <w:p>
      <w:pPr>
        <w:spacing w:beforeLines="50" w:afterLines="50"/>
        <w:ind w:firstLine="560" w:firstLineChars="200"/>
        <w:rPr>
          <w:rFonts w:ascii="仿宋_GB2312" w:eastAsia="仿宋_GB2312"/>
          <w:sz w:val="28"/>
          <w:szCs w:val="28"/>
        </w:rPr>
      </w:pPr>
      <w:r>
        <w:rPr>
          <w:rFonts w:hint="eastAsia" w:ascii="仿宋_GB2312" w:eastAsia="宋体"/>
          <w:sz w:val="28"/>
          <w:szCs w:val="28"/>
        </w:rPr>
        <w:t>分支機構</w:t>
      </w:r>
      <w:r>
        <w:rPr>
          <w:rFonts w:hint="eastAsia" w:ascii="仿宋_GB2312" w:hAnsi="宋体" w:eastAsia="宋体" w:cs="宋体"/>
          <w:kern w:val="0"/>
          <w:sz w:val="28"/>
          <w:szCs w:val="28"/>
        </w:rPr>
        <w:t>應指定期權經紀業務負責人，可根據需要設立股票期權開戶崗、</w:t>
      </w:r>
      <w:r>
        <w:rPr>
          <w:rFonts w:hint="eastAsia" w:ascii="仿宋_GB2312" w:eastAsia="宋体"/>
          <w:sz w:val="28"/>
          <w:szCs w:val="28"/>
        </w:rPr>
        <w:t>運營崗、合規與風險管理崗、</w:t>
      </w:r>
      <w:r>
        <w:rPr>
          <w:rFonts w:hint="eastAsia" w:ascii="仿宋_GB2312" w:hAnsi="宋体" w:eastAsia="宋体" w:cs="宋体"/>
          <w:kern w:val="0"/>
          <w:sz w:val="28"/>
          <w:szCs w:val="28"/>
        </w:rPr>
        <w:t>投資者教育培訓崗、客戶回訪崗、客戶投訴處理崗</w:t>
      </w:r>
      <w:r>
        <w:rPr>
          <w:rFonts w:hint="eastAsia" w:ascii="仿宋_GB2312" w:eastAsia="宋体"/>
          <w:sz w:val="28"/>
          <w:szCs w:val="28"/>
        </w:rPr>
        <w:t>等崗位。</w:t>
      </w:r>
      <w:r>
        <w:rPr>
          <w:rFonts w:hint="eastAsia" w:ascii="仿宋_GB2312" w:hAnsi="宋体" w:eastAsia="宋体" w:cs="宋体"/>
          <w:kern w:val="0"/>
          <w:sz w:val="28"/>
          <w:szCs w:val="28"/>
        </w:rPr>
        <w:t>開戶崗和運營崗等崗位建議建立備崗機制。</w:t>
      </w:r>
      <w:r>
        <w:rPr>
          <w:rFonts w:hint="eastAsia" w:ascii="仿宋_GB2312" w:eastAsia="宋体"/>
          <w:sz w:val="28"/>
          <w:szCs w:val="28"/>
        </w:rPr>
        <w:t>分支機構可根據實際情況合理設置兼崗。</w:t>
      </w:r>
    </w:p>
    <w:p>
      <w:pPr>
        <w:pStyle w:val="2"/>
        <w:ind w:firstLine="562" w:firstLineChars="200"/>
        <w:jc w:val="both"/>
        <w:rPr>
          <w:szCs w:val="28"/>
        </w:rPr>
      </w:pPr>
      <w:bookmarkStart w:id="41" w:name="_Toc406438878"/>
      <w:bookmarkStart w:id="42" w:name="_Toc408749977"/>
      <w:bookmarkStart w:id="43" w:name="_Toc7344"/>
      <w:bookmarkStart w:id="44" w:name="_Toc23267"/>
      <w:bookmarkStart w:id="45" w:name="_Toc19531"/>
      <w:bookmarkStart w:id="46" w:name="_Toc452016996"/>
      <w:bookmarkStart w:id="47" w:name="_Toc23947132"/>
      <w:r>
        <w:rPr>
          <w:rFonts w:hint="eastAsia" w:eastAsia="宋体"/>
          <w:szCs w:val="28"/>
        </w:rPr>
        <w:t>三、制度與流程</w:t>
      </w:r>
      <w:bookmarkEnd w:id="41"/>
      <w:bookmarkEnd w:id="42"/>
      <w:bookmarkEnd w:id="43"/>
      <w:bookmarkEnd w:id="44"/>
      <w:bookmarkEnd w:id="45"/>
      <w:bookmarkEnd w:id="46"/>
      <w:bookmarkEnd w:id="47"/>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應制定健全的業務制度和完備的業務流程，涵蓋股票期權經紀業務管理、交易管理、客戶適當性評估以及分級管理、結算、風險管理、內部控制制度、投資者教育、合規管理、分支機構相關業務管理、分支機構相關內部控制等各個環節。</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證券公司應制定股票期權經紀業務應急預案，以應對業務中的突發事件，保障業務平穩開展。</w:t>
      </w:r>
    </w:p>
    <w:p>
      <w:pPr>
        <w:spacing w:beforeLines="50" w:afterLines="50"/>
        <w:ind w:firstLine="560" w:firstLineChars="200"/>
        <w:rPr>
          <w:rFonts w:ascii="仿宋_GB2312" w:eastAsia="仿宋_GB2312"/>
          <w:sz w:val="28"/>
          <w:szCs w:val="28"/>
        </w:rPr>
      </w:pPr>
    </w:p>
    <w:p>
      <w:pPr>
        <w:pStyle w:val="3"/>
        <w:ind w:firstLine="562"/>
      </w:pPr>
      <w:bookmarkStart w:id="48" w:name="_Toc452016997"/>
      <w:bookmarkStart w:id="49" w:name="_Toc23947133"/>
      <w:r>
        <w:rPr>
          <w:rFonts w:hint="eastAsia" w:eastAsia="宋体"/>
        </w:rPr>
        <w:t>四、</w:t>
      </w:r>
      <w:bookmarkStart w:id="50" w:name="内控管理"/>
      <w:r>
        <w:rPr>
          <w:rFonts w:hint="eastAsia" w:eastAsia="宋体"/>
        </w:rPr>
        <w:t>內控管理</w:t>
      </w:r>
      <w:bookmarkEnd w:id="48"/>
      <w:bookmarkEnd w:id="49"/>
      <w:bookmarkEnd w:id="50"/>
    </w:p>
    <w:p>
      <w:pPr>
        <w:spacing w:beforeLines="50" w:afterLines="50"/>
        <w:ind w:firstLine="562" w:firstLineChars="200"/>
        <w:rPr>
          <w:rFonts w:ascii="仿宋_GB2312" w:eastAsia="仿宋_GB2312"/>
          <w:b/>
          <w:bCs/>
          <w:sz w:val="28"/>
          <w:szCs w:val="28"/>
        </w:rPr>
      </w:pPr>
      <w:r>
        <w:rPr>
          <w:rFonts w:hint="eastAsia" w:ascii="仿宋_GB2312" w:eastAsia="宋体"/>
          <w:b/>
          <w:bCs/>
          <w:sz w:val="28"/>
          <w:szCs w:val="28"/>
        </w:rPr>
        <w:t>（一）內控管理制度</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須建立防範利益衝突相關的合規制度，確保期權業務在資訊、人員、系統、資金和帳戶等方面實現隔離，期權與現貨業務、技術系統實現隔離，期權經紀業務和期權自營業務實現隔離，在業務開展中須防止敏感資訊的不當流動，建立跨牆管理制度。同時，應防範不同利益主體之間的利益衝突。</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1、隔離制度</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從事期權的經紀業務部門、自營部門應相互隔離，使用獨立、固定且相對封閉的辦公場所，經紀業務使用的交易單元與自營業務使用的交易單元應相互獨立，不得聯通或者混用；期權經紀業務、技術系統與現貨經紀業務相互隔離，期權業務和風控系統與辦公系統和外部互聯網有效隔離。</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2、利益衝突防範制度</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公司應當針對期權的特點及監管要求，對開展期權業務所導致的利益衝突進行識別、評估、防範和管理，公司合規部應當在日常合規管理中保持對期權業務利益衝突的持續關注。</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3、合規檢查制度</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公司應當安排例行檢查和專項檢查，並根據情況採取現場檢查和非現場檢查兩種方式結合進行，內容包括相關制度和流程是否完備、各項工作開展是否符合合規要求、員工行為是否合規等。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4、違規處罰</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公司應當進行合規考核與問責，對於嚴重的違規情況，應當給予相應的處罰。</w:t>
      </w:r>
    </w:p>
    <w:p>
      <w:pPr>
        <w:spacing w:beforeLines="50" w:afterLines="50"/>
        <w:ind w:firstLine="562" w:firstLineChars="200"/>
        <w:rPr>
          <w:rFonts w:ascii="仿宋_GB2312" w:eastAsia="仿宋_GB2312"/>
          <w:b/>
          <w:bCs/>
          <w:sz w:val="28"/>
          <w:szCs w:val="28"/>
        </w:rPr>
      </w:pPr>
      <w:r>
        <w:rPr>
          <w:rFonts w:hint="eastAsia" w:ascii="仿宋_GB2312" w:eastAsia="宋体"/>
          <w:b/>
          <w:bCs/>
          <w:sz w:val="28"/>
          <w:szCs w:val="28"/>
        </w:rPr>
        <w:t>（二）證券公司制定期權業務的內控制度，應遵循如下原則：</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1、建立開展期權業務的決策、授權和業務執行機制；</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2、確保前、中、後臺相互分離、相互制約，各主要環節分別由不同的部門和崗位負責，不得進行業務間的混合操作；</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3、建立事前防範、事中監控、事後處置的風險管理體系；</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4、對各流程運作設定控制點，做好流程內部控制的管理制度，具體流程明確到部門、崗位和時間點。</w:t>
      </w:r>
    </w:p>
    <w:p>
      <w:pPr>
        <w:spacing w:beforeLines="50" w:afterLines="50"/>
        <w:ind w:firstLine="562" w:firstLineChars="200"/>
        <w:rPr>
          <w:rFonts w:ascii="仿宋_GB2312" w:eastAsia="仿宋_GB2312"/>
          <w:sz w:val="28"/>
          <w:szCs w:val="28"/>
        </w:rPr>
      </w:pPr>
      <w:r>
        <w:rPr>
          <w:rFonts w:hint="eastAsia" w:ascii="仿宋_GB2312" w:eastAsia="宋体"/>
          <w:b/>
          <w:bCs/>
          <w:sz w:val="28"/>
          <w:szCs w:val="28"/>
        </w:rPr>
        <w:t>（三）證券公司制定期權業務的內控制度，至少包括以下內容：</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1、交易系統的內部控制，如交易委託管理和交易系統管理；</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 xml:space="preserve">2、風險監控、風險處置與應急管理的內部控制，要點包括保證金標準的制定與調整、盤中交易風險即時動態監控、強行平倉及監控、結算後對客戶帳戶風險的分析預測及風險客戶的平倉通知、違約處理等，以及對於各環節中可能出現的各種技術故障、通信故障，應制訂可行的應急措施與方案等； </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3、客戶選擇與資信記錄，制定包括投資者准入和分級、買入限額、教育與市場行銷管理等制度；</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4、客戶檔案與客戶投訴的內部控制，制定包括對於客戶檔案管理，開銷戶業務的要點，如資格認定、合同簽署、帳戶申請、銷戶等，妥善保管合同和印章，以及現場投訴、專線投訴、信件投訴和監管機關轉發投訴的受理和處理流程，對於投訴事項須定期檢查和回訪；</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5、客戶回訪及客戶服務的內部控制，客戶服務人員可以對追加保證金進程跟蹤、強行平倉通知知曉確認、帳戶發生重大或異常交易、資訊產品使用效果等進行跟蹤回訪，並建立客戶服務記錄的支持系統；</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6、行權、清算與結算過程的內部控制，要點包括參數配置與調整，行權處理、實物交收、結算數據接收、清算、匯總與復核等；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7、財務、審計的內部控制；</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8、資訊系統的內部控制，建立交易、結算、財務數據的備份制度；</w:t>
      </w:r>
    </w:p>
    <w:p>
      <w:pPr>
        <w:spacing w:beforeLines="50" w:afterLines="50"/>
        <w:ind w:firstLine="560" w:firstLineChars="200"/>
        <w:rPr>
          <w:rFonts w:ascii="仿宋_GB2312" w:eastAsia="仿宋_GB2312"/>
          <w:b/>
          <w:sz w:val="28"/>
          <w:szCs w:val="28"/>
        </w:rPr>
      </w:pPr>
      <w:r>
        <w:rPr>
          <w:rFonts w:hint="eastAsia" w:ascii="仿宋_GB2312" w:eastAsia="宋体"/>
          <w:sz w:val="28"/>
          <w:szCs w:val="28"/>
        </w:rPr>
        <w:t>9、資訊報送的內部控制，應按照規定及時向上交所報送客戶限購額度、客戶分級、衍生品業務風險管理部負責人與聯繫人相關資訊等資料，做好保證金封閉管理的相關數據報送，應保證報送的數據真實、準確、完整、及時。</w:t>
      </w:r>
    </w:p>
    <w:p>
      <w:pPr>
        <w:spacing w:beforeLines="50" w:afterLines="50"/>
        <w:ind w:firstLine="562" w:firstLineChars="200"/>
        <w:rPr>
          <w:rFonts w:ascii="仿宋_GB2312" w:eastAsia="仿宋_GB2312"/>
          <w:b/>
          <w:bCs/>
          <w:sz w:val="28"/>
          <w:szCs w:val="28"/>
        </w:rPr>
      </w:pPr>
      <w:bookmarkStart w:id="51" w:name="_Toc18360"/>
      <w:bookmarkStart w:id="52" w:name="_Toc28974"/>
      <w:bookmarkStart w:id="53" w:name="_Toc24652"/>
      <w:bookmarkStart w:id="54" w:name="_Toc452016998"/>
      <w:r>
        <w:rPr>
          <w:rFonts w:hint="eastAsia" w:ascii="仿宋_GB2312" w:eastAsia="宋体"/>
          <w:b/>
          <w:bCs/>
          <w:sz w:val="28"/>
          <w:szCs w:val="28"/>
        </w:rPr>
        <w:t>（四）風險管理崗位聯繫方式報備</w:t>
      </w:r>
      <w:bookmarkEnd w:id="51"/>
      <w:bookmarkEnd w:id="52"/>
      <w:bookmarkEnd w:id="53"/>
      <w:bookmarkEnd w:id="54"/>
    </w:p>
    <w:p>
      <w:pPr>
        <w:spacing w:beforeLines="50" w:afterLines="50"/>
        <w:ind w:firstLine="560" w:firstLineChars="200"/>
        <w:jc w:val="left"/>
        <w:rPr>
          <w:rFonts w:ascii="仿宋_GB2312" w:eastAsia="仿宋_GB2312"/>
          <w:sz w:val="28"/>
          <w:szCs w:val="28"/>
        </w:rPr>
      </w:pPr>
      <w:r>
        <w:rPr>
          <w:rFonts w:hint="eastAsia" w:ascii="仿宋_GB2312" w:eastAsia="宋体"/>
          <w:sz w:val="28"/>
          <w:szCs w:val="28"/>
        </w:rPr>
        <w:t>證券公司應向上交所報備以下人員聯繫方式（包括聯繫電話、手機、郵箱、傳真等）：期權業務異常情況應急負責人、期權業務風險管理負責人、期權經紀業務風險管理聯繫人（如有經紀業務）、期權自營業務風險管理聯繫人（如有自營業務）、期權做市業務風險管理聯繫人（如有做市業務）。上述人員或聯繫方式如有變更，應於工作日15:00-17:00通過以下方式及時向本所更新。聯繫方式：021-68810582（電話），021-68810528-62（傳真），</w:t>
      </w:r>
      <w:r>
        <w:fldChar w:fldCharType="begin"/>
      </w:r>
      <w:r>
        <w:instrText xml:space="preserve"> HYPERLINK "mailto:" </w:instrText>
      </w:r>
      <w:r>
        <w:fldChar w:fldCharType="separate"/>
      </w:r>
      <w:r>
        <w:fldChar w:fldCharType="end"/>
      </w:r>
      <w:r>
        <w:fldChar w:fldCharType="begin"/>
      </w:r>
      <w:r>
        <w:instrText xml:space="preserve"> HYPERLINK "mailto:Riskmonitor01@sse.com.cn" </w:instrText>
      </w:r>
      <w:r>
        <w:fldChar w:fldCharType="separate"/>
      </w:r>
      <w:r>
        <w:rPr>
          <w:rFonts w:hint="eastAsia" w:ascii="仿宋_GB2312" w:eastAsia="宋体"/>
          <w:sz w:val="28"/>
          <w:szCs w:val="28"/>
        </w:rPr>
        <w:t>Riskdispose01@sse.com.cn</w:t>
      </w:r>
      <w:r>
        <w:rPr>
          <w:rFonts w:hint="eastAsia" w:ascii="仿宋_GB2312" w:eastAsia="仿宋_GB2312"/>
          <w:sz w:val="28"/>
          <w:szCs w:val="28"/>
        </w:rPr>
        <w:fldChar w:fldCharType="end"/>
      </w:r>
      <w:r>
        <w:rPr>
          <w:rFonts w:hint="eastAsia" w:ascii="仿宋_GB2312" w:eastAsia="宋体"/>
          <w:sz w:val="28"/>
          <w:szCs w:val="28"/>
        </w:rPr>
        <w:t>。</w:t>
      </w:r>
    </w:p>
    <w:p>
      <w:pPr>
        <w:pStyle w:val="2"/>
        <w:spacing w:line="240" w:lineRule="auto"/>
        <w:jc w:val="center"/>
        <w:rPr>
          <w:rFonts w:ascii="黑体" w:hAnsi="黑体" w:eastAsia="黑体"/>
          <w:kern w:val="2"/>
          <w:sz w:val="32"/>
          <w:szCs w:val="32"/>
        </w:rPr>
      </w:pPr>
      <w:bookmarkStart w:id="55" w:name="_Toc406436499"/>
      <w:bookmarkStart w:id="56" w:name="_Toc406438879"/>
      <w:bookmarkStart w:id="57" w:name="_Toc406438948"/>
      <w:bookmarkStart w:id="58" w:name="_Toc406439133"/>
      <w:bookmarkStart w:id="59" w:name="_Toc408749978"/>
      <w:bookmarkStart w:id="60" w:name="_Toc27030"/>
      <w:bookmarkStart w:id="61" w:name="_Toc22285"/>
      <w:bookmarkStart w:id="62" w:name="_Toc30855"/>
      <w:bookmarkStart w:id="63" w:name="_Toc452016999"/>
      <w:bookmarkStart w:id="64" w:name="_Toc23947134"/>
      <w:r>
        <w:rPr>
          <w:rFonts w:hint="eastAsia" w:ascii="黑体" w:hAnsi="黑体" w:eastAsia="宋体"/>
          <w:kern w:val="2"/>
          <w:sz w:val="32"/>
          <w:szCs w:val="32"/>
        </w:rPr>
        <w:t>第二章 股票期權經紀業務交易許可權申請</w:t>
      </w:r>
      <w:bookmarkEnd w:id="55"/>
      <w:bookmarkEnd w:id="56"/>
      <w:bookmarkEnd w:id="57"/>
      <w:bookmarkEnd w:id="58"/>
      <w:bookmarkEnd w:id="59"/>
      <w:bookmarkEnd w:id="60"/>
      <w:bookmarkEnd w:id="61"/>
      <w:bookmarkEnd w:id="62"/>
      <w:bookmarkEnd w:id="63"/>
      <w:bookmarkEnd w:id="64"/>
    </w:p>
    <w:p>
      <w:pPr>
        <w:ind w:firstLine="560" w:firstLineChars="200"/>
        <w:rPr>
          <w:rFonts w:ascii="仿宋_GB2312" w:eastAsia="仿宋_GB2312"/>
          <w:sz w:val="28"/>
          <w:szCs w:val="28"/>
        </w:rPr>
      </w:pPr>
      <w:r>
        <w:rPr>
          <w:rFonts w:hint="eastAsia" w:ascii="仿宋_GB2312" w:eastAsia="宋体"/>
          <w:sz w:val="28"/>
          <w:szCs w:val="28"/>
        </w:rPr>
        <w:t>滿足《證券期貨經營機構參與股票期權交易試點指引》、《交易規則》相關要求的證券公司可以向本所申請成為股票期權交易參與人。</w:t>
      </w:r>
    </w:p>
    <w:p>
      <w:pPr>
        <w:pStyle w:val="2"/>
        <w:ind w:firstLine="562" w:firstLineChars="200"/>
        <w:jc w:val="both"/>
        <w:rPr>
          <w:szCs w:val="28"/>
        </w:rPr>
      </w:pPr>
      <w:bookmarkStart w:id="65" w:name="_Toc406438881"/>
      <w:bookmarkStart w:id="66" w:name="_Toc408749979"/>
      <w:bookmarkStart w:id="67" w:name="_Toc22793"/>
      <w:bookmarkStart w:id="68" w:name="_Toc4383"/>
      <w:bookmarkStart w:id="69" w:name="_Toc13708"/>
      <w:bookmarkStart w:id="70" w:name="_Toc452017000"/>
      <w:bookmarkStart w:id="71" w:name="_Toc23947135"/>
      <w:r>
        <w:rPr>
          <w:rFonts w:hint="eastAsia" w:eastAsia="宋体"/>
          <w:szCs w:val="28"/>
        </w:rPr>
        <w:t>一、申請材料</w:t>
      </w:r>
      <w:bookmarkEnd w:id="65"/>
      <w:bookmarkEnd w:id="66"/>
      <w:bookmarkEnd w:id="67"/>
      <w:bookmarkEnd w:id="68"/>
      <w:bookmarkEnd w:id="69"/>
      <w:bookmarkEnd w:id="70"/>
      <w:bookmarkEnd w:id="71"/>
    </w:p>
    <w:p>
      <w:pPr>
        <w:ind w:firstLine="560" w:firstLineChars="200"/>
        <w:rPr>
          <w:rFonts w:ascii="仿宋_GB2312" w:eastAsia="仿宋_GB2312"/>
          <w:sz w:val="28"/>
          <w:szCs w:val="28"/>
        </w:rPr>
      </w:pPr>
      <w:r>
        <w:rPr>
          <w:rFonts w:hint="eastAsia" w:ascii="仿宋_GB2312" w:eastAsia="宋体"/>
          <w:sz w:val="28"/>
          <w:szCs w:val="28"/>
        </w:rPr>
        <w:t>申請從事股票期權經紀業務的證券公司應向本所提交以下材料：</w:t>
      </w:r>
    </w:p>
    <w:p>
      <w:pPr>
        <w:ind w:firstLine="560" w:firstLineChars="200"/>
        <w:rPr>
          <w:rFonts w:ascii="仿宋_GB2312" w:eastAsia="仿宋_GB2312"/>
          <w:sz w:val="28"/>
          <w:szCs w:val="28"/>
        </w:rPr>
      </w:pPr>
      <w:r>
        <w:rPr>
          <w:rFonts w:hint="eastAsia" w:ascii="仿宋_GB2312" w:eastAsia="宋体"/>
          <w:sz w:val="28"/>
          <w:szCs w:val="28"/>
        </w:rPr>
        <w:t xml:space="preserve">（一）股票期權經紀業務申請書（法定代表人簽字並加蓋公章）； </w:t>
      </w:r>
    </w:p>
    <w:p>
      <w:pPr>
        <w:ind w:firstLine="560" w:firstLineChars="200"/>
        <w:rPr>
          <w:rFonts w:ascii="仿宋_GB2312" w:eastAsia="仿宋_GB2312"/>
          <w:sz w:val="28"/>
          <w:szCs w:val="28"/>
        </w:rPr>
      </w:pPr>
      <w:r>
        <w:rPr>
          <w:rFonts w:hint="eastAsia" w:ascii="仿宋_GB2312" w:eastAsia="宋体"/>
          <w:sz w:val="28"/>
          <w:szCs w:val="28"/>
        </w:rPr>
        <w:t>（二）企業法人營業執照、組織機構代碼證副本影本（加蓋公章）；具有證券經紀業務資格的證明檔；</w:t>
      </w:r>
    </w:p>
    <w:p>
      <w:pPr>
        <w:ind w:firstLine="560" w:firstLineChars="200"/>
        <w:rPr>
          <w:rFonts w:ascii="仿宋_GB2312" w:eastAsia="仿宋_GB2312"/>
          <w:sz w:val="28"/>
          <w:szCs w:val="28"/>
        </w:rPr>
      </w:pPr>
      <w:r>
        <w:rPr>
          <w:rFonts w:hint="eastAsia" w:ascii="仿宋_GB2312" w:eastAsia="宋体"/>
          <w:sz w:val="28"/>
          <w:szCs w:val="28"/>
        </w:rPr>
        <w:t>（三）股票期權經紀業務就緒自查承諾書（分管股票期權經紀業務的高級管理人員在業務就緒自查承諾書上簽字，加蓋公章）；</w:t>
      </w:r>
    </w:p>
    <w:p>
      <w:pPr>
        <w:ind w:firstLine="560" w:firstLineChars="200"/>
        <w:rPr>
          <w:rFonts w:ascii="仿宋_GB2312" w:eastAsia="仿宋_GB2312"/>
          <w:sz w:val="28"/>
          <w:szCs w:val="28"/>
        </w:rPr>
      </w:pPr>
      <w:r>
        <w:rPr>
          <w:rFonts w:hint="eastAsia" w:ascii="仿宋_GB2312" w:eastAsia="宋体"/>
          <w:sz w:val="28"/>
          <w:szCs w:val="28"/>
        </w:rPr>
        <w:t>（四）股東會（股東大會）或董事會關於開展股票期權經紀業務的決議檔；</w:t>
      </w:r>
    </w:p>
    <w:p>
      <w:pPr>
        <w:ind w:firstLine="560" w:firstLineChars="200"/>
        <w:rPr>
          <w:rFonts w:ascii="仿宋_GB2312" w:eastAsia="仿宋_GB2312"/>
          <w:sz w:val="28"/>
          <w:szCs w:val="28"/>
        </w:rPr>
      </w:pPr>
      <w:r>
        <w:rPr>
          <w:rFonts w:hint="eastAsia" w:ascii="仿宋_GB2312" w:eastAsia="宋体"/>
          <w:sz w:val="28"/>
          <w:szCs w:val="28"/>
        </w:rPr>
        <w:t>（五）股票期權經紀業務方案、內部風險控制與管理制度、投資者適當性管理制度文本等相關材料；</w:t>
      </w:r>
    </w:p>
    <w:p>
      <w:pPr>
        <w:ind w:firstLine="560" w:firstLineChars="200"/>
        <w:rPr>
          <w:rFonts w:ascii="仿宋_GB2312" w:eastAsia="仿宋_GB2312"/>
          <w:sz w:val="28"/>
          <w:szCs w:val="28"/>
        </w:rPr>
      </w:pPr>
      <w:r>
        <w:rPr>
          <w:rFonts w:hint="eastAsia" w:ascii="仿宋_GB2312" w:eastAsia="宋体"/>
          <w:sz w:val="28"/>
          <w:szCs w:val="28"/>
        </w:rPr>
        <w:t>（六）負責股票期權經紀業務的高級管理人員和主要業務人員的名冊、資質證明檔（包括高管任職資格證明、證券從業資格證書、期貨從業資格證書等）及聯繫方式。其中主要業務人員包括但不限於股票期權經紀業務部門相關人員、其他部門與期權業務密切相關的人員等；（經紀業務開展過程中如有人員變動，應及時向交易所報備，報備郵箱地址：optionbc@sse.com.cn）；</w:t>
      </w:r>
    </w:p>
    <w:p>
      <w:pPr>
        <w:ind w:firstLine="560" w:firstLineChars="200"/>
        <w:rPr>
          <w:rFonts w:ascii="仿宋_GB2312" w:eastAsia="仿宋_GB2312"/>
          <w:sz w:val="28"/>
          <w:szCs w:val="28"/>
        </w:rPr>
      </w:pPr>
      <w:r>
        <w:rPr>
          <w:rFonts w:hint="eastAsia" w:ascii="仿宋_GB2312" w:eastAsia="宋体"/>
          <w:sz w:val="28"/>
          <w:szCs w:val="28"/>
        </w:rPr>
        <w:t>（七）股票期權經紀業務全成本（包括與期權直接或間接相關的可變成本與固定成本）測算報告及股票期權合約每張收費計畫；</w:t>
      </w:r>
    </w:p>
    <w:p>
      <w:pPr>
        <w:ind w:firstLine="560" w:firstLineChars="200"/>
        <w:rPr>
          <w:rFonts w:ascii="仿宋_GB2312" w:eastAsia="仿宋_GB2312"/>
          <w:sz w:val="28"/>
          <w:szCs w:val="28"/>
        </w:rPr>
      </w:pPr>
      <w:r>
        <w:rPr>
          <w:rFonts w:hint="eastAsia" w:ascii="仿宋_GB2312" w:eastAsia="宋体"/>
          <w:sz w:val="28"/>
          <w:szCs w:val="28"/>
        </w:rPr>
        <w:t>（八）通過本所股票期權現場檢查的證明檔；</w:t>
      </w:r>
    </w:p>
    <w:p>
      <w:pPr>
        <w:ind w:firstLine="560" w:firstLineChars="200"/>
        <w:rPr>
          <w:rFonts w:ascii="仿宋_GB2312" w:eastAsia="仿宋_GB2312"/>
          <w:sz w:val="28"/>
          <w:szCs w:val="28"/>
        </w:rPr>
      </w:pPr>
      <w:r>
        <w:rPr>
          <w:rFonts w:hint="eastAsia" w:ascii="仿宋_GB2312" w:eastAsia="宋体"/>
          <w:sz w:val="28"/>
          <w:szCs w:val="28"/>
        </w:rPr>
        <w:t>（九）本所要求提交的其他材料。</w:t>
      </w:r>
    </w:p>
    <w:p>
      <w:pPr>
        <w:pStyle w:val="2"/>
        <w:ind w:firstLine="562" w:firstLineChars="200"/>
        <w:jc w:val="both"/>
        <w:rPr>
          <w:szCs w:val="28"/>
        </w:rPr>
      </w:pPr>
      <w:bookmarkStart w:id="72" w:name="_Toc406438882"/>
      <w:bookmarkStart w:id="73" w:name="_Toc408749980"/>
      <w:bookmarkStart w:id="74" w:name="_Toc4539"/>
      <w:bookmarkStart w:id="75" w:name="_Toc11791"/>
      <w:bookmarkStart w:id="76" w:name="_Toc9739"/>
      <w:bookmarkStart w:id="77" w:name="_Toc452017001"/>
      <w:bookmarkStart w:id="78" w:name="_Toc23947136"/>
      <w:r>
        <w:rPr>
          <w:rFonts w:hint="eastAsia" w:eastAsia="宋体"/>
          <w:szCs w:val="28"/>
        </w:rPr>
        <w:t>二、申請流程</w:t>
      </w:r>
      <w:bookmarkEnd w:id="72"/>
      <w:bookmarkEnd w:id="73"/>
      <w:bookmarkEnd w:id="74"/>
      <w:bookmarkEnd w:id="75"/>
      <w:bookmarkEnd w:id="76"/>
      <w:bookmarkEnd w:id="77"/>
      <w:bookmarkEnd w:id="78"/>
    </w:p>
    <w:p>
      <w:pPr>
        <w:ind w:firstLine="560" w:firstLineChars="200"/>
        <w:rPr>
          <w:rFonts w:ascii="仿宋_GB2312" w:eastAsia="仿宋_GB2312"/>
          <w:sz w:val="28"/>
          <w:szCs w:val="28"/>
        </w:rPr>
      </w:pPr>
      <w:r>
        <w:rPr>
          <w:rFonts w:hint="eastAsia" w:ascii="仿宋_GB2312" w:eastAsia="宋体"/>
          <w:sz w:val="28"/>
          <w:szCs w:val="28"/>
        </w:rPr>
        <w:t>證券公司申請材料應以書面形式通過會員專區-業務辦理-期權業務辦理欄目提交本所。證券公司符合申請條件且申請材料齊備的，本所自收到申請材料之日起10個交易日內作出是否同意的決定。同意的，向其發出業務確認通知。對於需要補充申請材料的申請人，本所將通知申請人及時補充材料，補充材料的時間不包含在上述10個交易日內。</w:t>
      </w:r>
    </w:p>
    <w:p>
      <w:pPr>
        <w:ind w:firstLine="560" w:firstLineChars="200"/>
        <w:rPr>
          <w:rFonts w:ascii="仿宋_GB2312" w:eastAsia="仿宋_GB2312"/>
          <w:sz w:val="28"/>
          <w:szCs w:val="28"/>
        </w:rPr>
      </w:pPr>
      <w:r>
        <w:rPr>
          <w:rFonts w:hint="eastAsia" w:ascii="仿宋_GB2312" w:eastAsia="宋体"/>
          <w:sz w:val="28"/>
          <w:szCs w:val="28"/>
        </w:rPr>
        <w:t>證券公司向本所申請期權交易參與人資格的同時，應向中國結算申請期權結算參與人資格。</w:t>
      </w:r>
    </w:p>
    <w:p>
      <w:pPr>
        <w:pStyle w:val="2"/>
        <w:ind w:firstLine="562" w:firstLineChars="200"/>
        <w:jc w:val="both"/>
        <w:rPr>
          <w:szCs w:val="28"/>
        </w:rPr>
      </w:pPr>
      <w:bookmarkStart w:id="79" w:name="_Toc406438883"/>
      <w:bookmarkStart w:id="80" w:name="_Toc408749981"/>
      <w:bookmarkStart w:id="81" w:name="_Toc32753"/>
      <w:bookmarkStart w:id="82" w:name="_Toc2874"/>
      <w:bookmarkStart w:id="83" w:name="_Toc29656"/>
      <w:bookmarkStart w:id="84" w:name="_Toc452017002"/>
      <w:bookmarkStart w:id="85" w:name="_Toc23947137"/>
      <w:r>
        <w:rPr>
          <w:rFonts w:hint="eastAsia" w:eastAsia="宋体"/>
          <w:szCs w:val="28"/>
        </w:rPr>
        <w:t>三、交易許可權開通流程</w:t>
      </w:r>
      <w:bookmarkEnd w:id="79"/>
      <w:bookmarkEnd w:id="80"/>
      <w:bookmarkEnd w:id="81"/>
      <w:bookmarkEnd w:id="82"/>
      <w:bookmarkEnd w:id="83"/>
      <w:bookmarkEnd w:id="84"/>
      <w:bookmarkEnd w:id="85"/>
    </w:p>
    <w:p>
      <w:pPr>
        <w:ind w:firstLine="560" w:firstLineChars="200"/>
        <w:rPr>
          <w:rFonts w:ascii="仿宋_GB2312" w:eastAsia="仿宋_GB2312"/>
          <w:sz w:val="28"/>
          <w:szCs w:val="28"/>
        </w:rPr>
      </w:pPr>
      <w:r>
        <w:rPr>
          <w:rFonts w:hint="eastAsia" w:ascii="仿宋_GB2312" w:eastAsia="宋体"/>
          <w:sz w:val="28"/>
          <w:szCs w:val="28"/>
        </w:rPr>
        <w:t>證券公司取得本所股票期權經紀業務確認通知、並已在中國結算完成股票期權經紀業務結算參與人申請、相關帳戶開立、清算路徑開通等工作後，可以向本所申請開通股票期權交易許可權，流程如下：</w:t>
      </w:r>
    </w:p>
    <w:p>
      <w:pPr>
        <w:ind w:firstLine="560" w:firstLineChars="200"/>
        <w:rPr>
          <w:rFonts w:ascii="仿宋_GB2312" w:eastAsia="仿宋_GB2312"/>
          <w:sz w:val="28"/>
          <w:szCs w:val="28"/>
        </w:rPr>
      </w:pPr>
      <w:r>
        <w:rPr>
          <w:rFonts w:hint="eastAsia" w:ascii="仿宋_GB2312" w:eastAsia="宋体"/>
          <w:sz w:val="28"/>
          <w:szCs w:val="28"/>
        </w:rPr>
        <w:t>（一）證券公司將其股票期權經紀業務相關帳戶（客戶股票期權保證金帳戶、客戶衍生品處置證券帳戶、</w:t>
      </w:r>
      <w:r>
        <w:rPr>
          <w:rFonts w:hint="eastAsia" w:ascii="仿宋_GB2312" w:eastAsia="宋体"/>
          <w:color w:val="000000"/>
          <w:sz w:val="28"/>
          <w:szCs w:val="28"/>
        </w:rPr>
        <w:t>客戶衍生品結算資金匯總帳戶</w:t>
      </w:r>
      <w:r>
        <w:rPr>
          <w:rFonts w:hint="eastAsia" w:ascii="仿宋_GB2312" w:eastAsia="宋体"/>
          <w:sz w:val="28"/>
          <w:szCs w:val="28"/>
        </w:rPr>
        <w:t>）在開立後三個交易日內通過公司郵箱向本所衍生品業務部報備，</w:t>
      </w:r>
      <w:r>
        <w:fldChar w:fldCharType="begin"/>
      </w:r>
      <w:r>
        <w:instrText xml:space="preserve"> HYPERLINK "mailto:报备接收邮箱为optionbc@sse.com.cn" </w:instrText>
      </w:r>
      <w:r>
        <w:fldChar w:fldCharType="separate"/>
      </w:r>
      <w:r>
        <w:rPr>
          <w:rFonts w:hint="eastAsia" w:ascii="仿宋_GB2312" w:eastAsia="宋体"/>
          <w:sz w:val="28"/>
          <w:szCs w:val="28"/>
        </w:rPr>
        <w:t>報備接收郵箱為optionbc@sse.com.cn</w:t>
      </w:r>
      <w:r>
        <w:rPr>
          <w:rFonts w:hint="eastAsia" w:ascii="仿宋_GB2312" w:eastAsia="仿宋_GB2312"/>
          <w:sz w:val="28"/>
          <w:szCs w:val="28"/>
        </w:rPr>
        <w:fldChar w:fldCharType="end"/>
      </w:r>
      <w:r>
        <w:rPr>
          <w:rFonts w:hint="eastAsia" w:ascii="仿宋_GB2312" w:eastAsia="宋体"/>
          <w:sz w:val="28"/>
          <w:szCs w:val="28"/>
        </w:rPr>
        <w:t>。</w:t>
      </w:r>
    </w:p>
    <w:p>
      <w:pPr>
        <w:ind w:firstLine="560" w:firstLineChars="200"/>
        <w:rPr>
          <w:rFonts w:ascii="仿宋_GB2312" w:eastAsia="仿宋_GB2312"/>
          <w:sz w:val="28"/>
          <w:szCs w:val="28"/>
        </w:rPr>
      </w:pPr>
      <w:r>
        <w:rPr>
          <w:rFonts w:hint="eastAsia" w:ascii="仿宋_GB2312" w:eastAsia="宋体"/>
          <w:sz w:val="28"/>
          <w:szCs w:val="28"/>
        </w:rPr>
        <w:t>（二）證券公司</w:t>
      </w:r>
      <w:r>
        <w:rPr>
          <w:rFonts w:eastAsia="宋体"/>
          <w:sz w:val="28"/>
          <w:szCs w:val="28"/>
        </w:rPr>
        <w:t> </w:t>
      </w:r>
      <w:r>
        <w:rPr>
          <w:rFonts w:hint="eastAsia" w:ascii="仿宋_GB2312" w:eastAsia="宋体"/>
          <w:sz w:val="28"/>
          <w:szCs w:val="28"/>
        </w:rPr>
        <w:t>通過會員專區向本所報備股票期權經紀業務交易單元及相關資訊。</w:t>
      </w:r>
    </w:p>
    <w:p>
      <w:pPr>
        <w:ind w:firstLine="560" w:firstLineChars="200"/>
        <w:rPr>
          <w:rFonts w:ascii="仿宋_GB2312" w:eastAsia="仿宋_GB2312"/>
          <w:sz w:val="28"/>
          <w:szCs w:val="28"/>
        </w:rPr>
      </w:pPr>
      <w:r>
        <w:rPr>
          <w:rFonts w:hint="eastAsia" w:ascii="仿宋_GB2312" w:eastAsia="宋体"/>
          <w:sz w:val="28"/>
          <w:szCs w:val="28"/>
        </w:rPr>
        <w:t>（三）本所為證券公司開通股票期權交易參與人權限。</w:t>
      </w:r>
    </w:p>
    <w:p>
      <w:pPr>
        <w:ind w:firstLine="560" w:firstLineChars="200"/>
        <w:rPr>
          <w:rFonts w:ascii="仿宋_GB2312" w:eastAsia="仿宋_GB2312"/>
          <w:sz w:val="28"/>
          <w:szCs w:val="28"/>
        </w:rPr>
      </w:pPr>
      <w:r>
        <w:rPr>
          <w:rFonts w:hint="eastAsia" w:ascii="仿宋_GB2312" w:eastAsia="宋体"/>
          <w:sz w:val="28"/>
          <w:szCs w:val="28"/>
        </w:rPr>
        <w:t>股票期權經紀業務聯繫電話：021-68811322。</w:t>
      </w:r>
    </w:p>
    <w:p>
      <w:pPr>
        <w:numPr>
          <w:ilvl w:val="0"/>
          <w:numId w:val="1"/>
        </w:numPr>
        <w:ind w:firstLine="600" w:firstLineChars="200"/>
        <w:rPr>
          <w:rFonts w:ascii="仿宋_GB2312" w:eastAsia="仿宋_GB2312"/>
          <w:sz w:val="30"/>
          <w:szCs w:val="30"/>
        </w:rPr>
      </w:pPr>
      <w:r>
        <w:rPr>
          <w:rFonts w:hint="eastAsia" w:ascii="仿宋_GB2312" w:eastAsia="宋体"/>
          <w:sz w:val="30"/>
          <w:szCs w:val="30"/>
        </w:rPr>
        <w:t>開通股票期權交易參與人業務管理系統使用權限</w:t>
      </w:r>
    </w:p>
    <w:p>
      <w:pPr>
        <w:ind w:firstLine="560" w:firstLineChars="200"/>
        <w:rPr>
          <w:rFonts w:ascii="仿宋_GB2312" w:eastAsia="仿宋_GB2312"/>
          <w:sz w:val="28"/>
          <w:szCs w:val="28"/>
        </w:rPr>
      </w:pPr>
      <w:r>
        <w:rPr>
          <w:rFonts w:hint="eastAsia" w:ascii="仿宋_GB2312" w:eastAsia="宋体"/>
          <w:sz w:val="28"/>
          <w:szCs w:val="28"/>
        </w:rPr>
        <w:t>股票期權交易參與人業務管理系統是各期權經營機構遞交各類材料和資訊傳遞的重要通道和溝通平臺，其功能包含經紀套保持倉限額申請、持倉限額報送、程式交易報備、發佈公告、發送通知等。</w:t>
      </w:r>
    </w:p>
    <w:p>
      <w:pPr>
        <w:ind w:firstLine="560" w:firstLineChars="200"/>
        <w:rPr>
          <w:rFonts w:ascii="仿宋_GB2312" w:eastAsia="仿宋_GB2312"/>
          <w:sz w:val="28"/>
          <w:szCs w:val="28"/>
        </w:rPr>
      </w:pPr>
      <w:r>
        <w:rPr>
          <w:rFonts w:hint="eastAsia" w:ascii="仿宋_GB2312" w:eastAsia="宋体"/>
          <w:sz w:val="28"/>
          <w:szCs w:val="28"/>
        </w:rPr>
        <w:t>證券公司可在本所網站股票期權專欄交易參與人業務管理系統中閱讀相關申請流程，具體申請材料包括</w:t>
      </w:r>
      <w:r>
        <w:rPr>
          <w:rFonts w:ascii="仿宋_GB2312" w:eastAsia="宋体"/>
          <w:sz w:val="28"/>
          <w:szCs w:val="28"/>
        </w:rPr>
        <w:t>《</w:t>
      </w:r>
      <w:r>
        <w:rPr>
          <w:rFonts w:hint="eastAsia" w:ascii="仿宋_GB2312" w:eastAsia="宋体"/>
          <w:sz w:val="28"/>
          <w:szCs w:val="28"/>
        </w:rPr>
        <w:t>交易參與人業務管理系統</w:t>
      </w:r>
      <w:r>
        <w:rPr>
          <w:rFonts w:ascii="仿宋_GB2312" w:eastAsia="宋体"/>
          <w:sz w:val="28"/>
          <w:szCs w:val="28"/>
        </w:rPr>
        <w:t>許可權申請表》</w:t>
      </w:r>
      <w:r>
        <w:rPr>
          <w:rFonts w:hint="eastAsia" w:ascii="仿宋_GB2312" w:eastAsia="宋体"/>
          <w:sz w:val="28"/>
          <w:szCs w:val="28"/>
        </w:rPr>
        <w:t>原件、</w:t>
      </w:r>
      <w:r>
        <w:rPr>
          <w:rFonts w:ascii="仿宋_GB2312" w:eastAsia="宋体"/>
          <w:sz w:val="28"/>
          <w:szCs w:val="28"/>
        </w:rPr>
        <w:t>《</w:t>
      </w:r>
      <w:r>
        <w:rPr>
          <w:rFonts w:hint="eastAsia" w:ascii="仿宋_GB2312" w:eastAsia="宋体"/>
          <w:sz w:val="28"/>
          <w:szCs w:val="28"/>
        </w:rPr>
        <w:t>交易參與人業務管理系統使用責任書</w:t>
      </w:r>
      <w:r>
        <w:rPr>
          <w:rFonts w:ascii="仿宋_GB2312" w:eastAsia="宋体"/>
          <w:sz w:val="28"/>
          <w:szCs w:val="28"/>
        </w:rPr>
        <w:t>》原件</w:t>
      </w:r>
      <w:r>
        <w:rPr>
          <w:rFonts w:hint="eastAsia" w:ascii="仿宋_GB2312" w:eastAsia="宋体"/>
          <w:sz w:val="28"/>
          <w:szCs w:val="28"/>
        </w:rPr>
        <w:t>、</w:t>
      </w:r>
      <w:r>
        <w:rPr>
          <w:rFonts w:ascii="仿宋_GB2312" w:eastAsia="宋体"/>
          <w:sz w:val="28"/>
          <w:szCs w:val="28"/>
        </w:rPr>
        <w:t>《數字證書申請責任書》</w:t>
      </w:r>
      <w:r>
        <w:rPr>
          <w:rFonts w:hint="eastAsia" w:ascii="仿宋_GB2312" w:eastAsia="宋体"/>
          <w:sz w:val="28"/>
          <w:szCs w:val="28"/>
        </w:rPr>
        <w:t>原件</w:t>
      </w:r>
      <w:r>
        <w:rPr>
          <w:rFonts w:ascii="仿宋_GB2312" w:eastAsia="宋体"/>
          <w:sz w:val="28"/>
          <w:szCs w:val="28"/>
        </w:rPr>
        <w:t>、《</w:t>
      </w:r>
      <w:r>
        <w:rPr>
          <w:rFonts w:hint="eastAsia" w:ascii="仿宋_GB2312" w:eastAsia="宋体"/>
          <w:sz w:val="28"/>
          <w:szCs w:val="28"/>
        </w:rPr>
        <w:t>CnSCA</w:t>
      </w:r>
      <w:r>
        <w:rPr>
          <w:rFonts w:ascii="仿宋_GB2312" w:eastAsia="宋体"/>
          <w:sz w:val="28"/>
          <w:szCs w:val="28"/>
        </w:rPr>
        <w:t>數字證書</w:t>
      </w:r>
      <w:r>
        <w:rPr>
          <w:rFonts w:hint="eastAsia" w:ascii="仿宋_GB2312" w:eastAsia="宋体"/>
          <w:sz w:val="28"/>
          <w:szCs w:val="28"/>
        </w:rPr>
        <w:t>機構</w:t>
      </w:r>
      <w:r>
        <w:rPr>
          <w:rFonts w:ascii="仿宋_GB2312" w:eastAsia="宋体"/>
          <w:sz w:val="28"/>
          <w:szCs w:val="28"/>
        </w:rPr>
        <w:t>申請表》原件、</w:t>
      </w:r>
      <w:r>
        <w:rPr>
          <w:rFonts w:hint="eastAsia" w:ascii="仿宋_GB2312" w:eastAsia="宋体"/>
          <w:sz w:val="28"/>
          <w:szCs w:val="28"/>
        </w:rPr>
        <w:t>組織機構代碼證影本、營業執照影本。申請材料郵寄地址如下：地址：上海浦東南路528號上海證券交易所衍生品業務部，郵編：200120；聯繫電話：021-68811322。</w:t>
      </w:r>
    </w:p>
    <w:p>
      <w:pPr>
        <w:rPr>
          <w:rFonts w:ascii="仿宋_GB2312" w:hAnsi="宋体" w:eastAsia="仿宋_GB2312"/>
          <w:b/>
          <w:sz w:val="28"/>
          <w:szCs w:val="28"/>
        </w:rPr>
      </w:pPr>
    </w:p>
    <w:p>
      <w:pPr>
        <w:pStyle w:val="2"/>
        <w:spacing w:line="240" w:lineRule="auto"/>
        <w:jc w:val="center"/>
        <w:rPr>
          <w:rFonts w:ascii="黑体" w:hAnsi="黑体" w:eastAsia="黑体"/>
          <w:kern w:val="2"/>
          <w:sz w:val="32"/>
          <w:szCs w:val="32"/>
        </w:rPr>
      </w:pPr>
      <w:bookmarkStart w:id="86" w:name="_Toc406438949"/>
      <w:bookmarkStart w:id="87" w:name="_Toc406439134"/>
      <w:bookmarkStart w:id="88" w:name="_Toc9248"/>
      <w:bookmarkStart w:id="89" w:name="_Toc452017003"/>
      <w:bookmarkStart w:id="90" w:name="_Toc406438884"/>
      <w:bookmarkStart w:id="91" w:name="_Toc408749982"/>
      <w:bookmarkStart w:id="92" w:name="_Toc23947138"/>
      <w:bookmarkStart w:id="93" w:name="_Toc10947"/>
      <w:bookmarkStart w:id="94" w:name="_Toc22390"/>
      <w:bookmarkStart w:id="95" w:name="_Toc406436500"/>
      <w:r>
        <w:rPr>
          <w:rFonts w:hint="eastAsia" w:ascii="黑体" w:hAnsi="黑体" w:eastAsia="宋体"/>
          <w:kern w:val="2"/>
          <w:sz w:val="32"/>
          <w:szCs w:val="32"/>
        </w:rPr>
        <w:t>第三章 投資者適當性管理</w:t>
      </w:r>
      <w:bookmarkEnd w:id="86"/>
      <w:bookmarkEnd w:id="87"/>
      <w:bookmarkEnd w:id="88"/>
      <w:bookmarkEnd w:id="89"/>
      <w:bookmarkEnd w:id="90"/>
      <w:bookmarkEnd w:id="91"/>
      <w:bookmarkEnd w:id="92"/>
      <w:bookmarkEnd w:id="93"/>
      <w:bookmarkEnd w:id="94"/>
      <w:bookmarkEnd w:id="95"/>
    </w:p>
    <w:p>
      <w:pPr>
        <w:ind w:firstLine="548" w:firstLineChars="196"/>
        <w:rPr>
          <w:rFonts w:ascii="仿宋_GB2312" w:eastAsia="仿宋_GB2312"/>
          <w:color w:val="000000"/>
          <w:sz w:val="28"/>
          <w:szCs w:val="28"/>
        </w:rPr>
      </w:pPr>
      <w:r>
        <w:rPr>
          <w:rFonts w:hint="eastAsia" w:ascii="仿宋_GB2312" w:eastAsia="宋体"/>
          <w:color w:val="000000"/>
          <w:sz w:val="28"/>
          <w:szCs w:val="28"/>
        </w:rPr>
        <w:t>證券公司應當嚴格執行股票期權投資者適當性管理制度，向客戶全面介紹期權產品特徵，充分揭示期權交易風險，對客戶的適當性進行評估並對客戶實施交易許可權分級管理。證券公司不得接受不符合投資者適當性標準的客戶從事股票期權交易。</w:t>
      </w:r>
    </w:p>
    <w:p>
      <w:pPr>
        <w:ind w:firstLine="548" w:firstLineChars="196"/>
        <w:rPr>
          <w:rFonts w:ascii="仿宋_GB2312" w:hAnsi="宋体" w:eastAsia="仿宋_GB2312"/>
          <w:b/>
          <w:sz w:val="28"/>
          <w:szCs w:val="28"/>
        </w:rPr>
      </w:pPr>
      <w:r>
        <w:rPr>
          <w:rFonts w:hint="eastAsia" w:ascii="仿宋_GB2312" w:eastAsia="宋体"/>
          <w:color w:val="000000"/>
          <w:sz w:val="28"/>
          <w:szCs w:val="28"/>
        </w:rPr>
        <w:t>投資者適當性評估及交易許可權分級等事宜，應當由公司總部審核確定。</w:t>
      </w:r>
    </w:p>
    <w:p>
      <w:pPr>
        <w:pStyle w:val="2"/>
        <w:ind w:firstLine="562" w:firstLineChars="200"/>
        <w:jc w:val="both"/>
        <w:rPr>
          <w:szCs w:val="28"/>
        </w:rPr>
      </w:pPr>
      <w:bookmarkStart w:id="96" w:name="_Toc406438885"/>
      <w:bookmarkStart w:id="97" w:name="_Toc408749983"/>
      <w:bookmarkStart w:id="98" w:name="_Toc1039"/>
      <w:bookmarkStart w:id="99" w:name="_Toc2174"/>
      <w:bookmarkStart w:id="100" w:name="_Toc27259"/>
      <w:bookmarkStart w:id="101" w:name="_Toc452017004"/>
      <w:bookmarkStart w:id="102" w:name="_Toc23947139"/>
      <w:r>
        <w:rPr>
          <w:rFonts w:hint="eastAsia" w:eastAsia="宋体"/>
          <w:szCs w:val="28"/>
        </w:rPr>
        <w:t>一、投資者准入條件</w:t>
      </w:r>
      <w:bookmarkEnd w:id="96"/>
      <w:bookmarkEnd w:id="97"/>
      <w:r>
        <w:rPr>
          <w:rFonts w:hint="eastAsia" w:eastAsia="宋体"/>
          <w:szCs w:val="28"/>
        </w:rPr>
        <w:t>的認定</w:t>
      </w:r>
      <w:bookmarkEnd w:id="98"/>
      <w:bookmarkEnd w:id="99"/>
      <w:bookmarkEnd w:id="100"/>
      <w:bookmarkEnd w:id="101"/>
      <w:bookmarkEnd w:id="102"/>
    </w:p>
    <w:p>
      <w:pPr>
        <w:ind w:firstLine="562" w:firstLineChars="200"/>
        <w:rPr>
          <w:rFonts w:ascii="仿宋_GB2312" w:eastAsia="仿宋_GB2312"/>
          <w:b/>
          <w:sz w:val="28"/>
          <w:szCs w:val="28"/>
        </w:rPr>
      </w:pPr>
      <w:bookmarkStart w:id="103" w:name="_Toc406438886"/>
      <w:r>
        <w:rPr>
          <w:rFonts w:hint="eastAsia" w:ascii="仿宋_GB2312" w:eastAsia="宋体"/>
          <w:b/>
          <w:sz w:val="28"/>
          <w:szCs w:val="28"/>
        </w:rPr>
        <w:t>（一）個人投資者</w:t>
      </w:r>
      <w:bookmarkEnd w:id="103"/>
    </w:p>
    <w:p>
      <w:pPr>
        <w:ind w:firstLine="548" w:firstLineChars="196"/>
        <w:rPr>
          <w:rFonts w:ascii="仿宋_GB2312" w:hAnsi="宋体" w:eastAsia="仿宋_GB2312"/>
          <w:sz w:val="28"/>
          <w:szCs w:val="28"/>
        </w:rPr>
      </w:pPr>
      <w:r>
        <w:rPr>
          <w:rFonts w:hint="eastAsia" w:ascii="仿宋_GB2312" w:hAnsi="宋体" w:eastAsia="宋体"/>
          <w:sz w:val="28"/>
          <w:szCs w:val="28"/>
        </w:rPr>
        <w:t>個人投資者參與期權交易，應當符合下列條件：</w:t>
      </w:r>
    </w:p>
    <w:p>
      <w:pPr>
        <w:ind w:firstLine="548" w:firstLineChars="196"/>
        <w:rPr>
          <w:rFonts w:ascii="仿宋_GB2312" w:hAnsi="宋体" w:eastAsia="仿宋_GB2312"/>
          <w:sz w:val="28"/>
          <w:szCs w:val="28"/>
        </w:rPr>
      </w:pPr>
      <w:r>
        <w:rPr>
          <w:rFonts w:hint="eastAsia" w:ascii="仿宋_GB2312" w:hAnsi="宋体" w:eastAsia="宋体"/>
          <w:sz w:val="28"/>
          <w:szCs w:val="28"/>
        </w:rPr>
        <w:t>1、申請開戶時託管在其委託的期權經營機構的證券市值與資金帳戶可用餘額（不含通過融資融券交易融入的資金或證券），合計不低於人民幣50萬元；</w:t>
      </w:r>
    </w:p>
    <w:p>
      <w:pPr>
        <w:ind w:firstLine="548" w:firstLineChars="196"/>
        <w:rPr>
          <w:rFonts w:ascii="仿宋_GB2312" w:hAnsi="宋体" w:eastAsia="仿宋_GB2312"/>
          <w:color w:val="000000"/>
          <w:sz w:val="28"/>
          <w:szCs w:val="28"/>
        </w:rPr>
      </w:pPr>
      <w:r>
        <w:rPr>
          <w:rFonts w:hint="eastAsia" w:ascii="仿宋_GB2312" w:hAnsi="宋体" w:eastAsia="宋体"/>
          <w:sz w:val="28"/>
          <w:szCs w:val="28"/>
        </w:rPr>
        <w:t>認定標準：個人投資者在證券公司開戶的，以託管在證券公司上一交易日日終或者當天的</w:t>
      </w:r>
      <w:r>
        <w:rPr>
          <w:rFonts w:hint="eastAsia" w:ascii="仿宋_GB2312" w:hAnsi="宋体" w:eastAsia="宋体"/>
          <w:color w:val="000000"/>
          <w:sz w:val="28"/>
          <w:szCs w:val="28"/>
        </w:rPr>
        <w:t>證券市值與資金帳戶可用餘額（不含通過融資融券交易融入的證券和資金）為依據。證券市值指在上海、深圳證券交易所或全國股份轉讓系統掛牌的股票、基金、債券、券商發行或代銷的理財產品以及本所規定的其他證券的市值，如通過港股通購買的港股。</w:t>
      </w:r>
    </w:p>
    <w:p>
      <w:pPr>
        <w:ind w:firstLine="548" w:firstLineChars="196"/>
        <w:rPr>
          <w:rFonts w:ascii="仿宋_GB2312" w:hAnsi="宋体" w:eastAsia="仿宋_GB2312"/>
          <w:color w:val="000000"/>
          <w:sz w:val="28"/>
          <w:szCs w:val="28"/>
        </w:rPr>
      </w:pPr>
      <w:r>
        <w:rPr>
          <w:rFonts w:hint="eastAsia" w:ascii="仿宋_GB2312" w:hAnsi="宋体" w:eastAsia="宋体"/>
          <w:color w:val="000000"/>
          <w:sz w:val="28"/>
          <w:szCs w:val="28"/>
        </w:rPr>
        <w:t>2、指定交易在證券公司6個月以上並具備融資融券業務參與資格或者金融期貨交易經歷；或者在期貨公司開戶6個月以上並具有金融期貨交易經歷；</w:t>
      </w:r>
    </w:p>
    <w:p>
      <w:pPr>
        <w:ind w:firstLine="548" w:firstLineChars="196"/>
        <w:rPr>
          <w:rFonts w:ascii="仿宋_GB2312" w:hAnsi="宋体" w:eastAsia="仿宋_GB2312"/>
          <w:color w:val="000000"/>
          <w:sz w:val="28"/>
          <w:szCs w:val="28"/>
        </w:rPr>
      </w:pPr>
      <w:r>
        <w:rPr>
          <w:rFonts w:hint="eastAsia" w:ascii="仿宋_GB2312" w:hAnsi="宋体" w:eastAsia="宋体"/>
          <w:sz w:val="28"/>
          <w:szCs w:val="28"/>
        </w:rPr>
        <w:t>認定標準：指</w:t>
      </w:r>
      <w:r>
        <w:rPr>
          <w:rFonts w:hint="eastAsia" w:ascii="仿宋_GB2312" w:hAnsi="宋体" w:eastAsia="宋体"/>
          <w:color w:val="000000"/>
          <w:sz w:val="28"/>
          <w:szCs w:val="28"/>
        </w:rPr>
        <w:t>定交易在本公司或其他證券公司開戶合計滿六個月；具備本公司或其他公司融資融券業務參與資格或者至少有一次金融期貨交易經歷。</w:t>
      </w:r>
    </w:p>
    <w:p>
      <w:pPr>
        <w:ind w:firstLine="548" w:firstLineChars="196"/>
        <w:rPr>
          <w:rFonts w:ascii="仿宋_GB2312" w:hAnsi="宋体" w:eastAsia="仿宋_GB2312"/>
          <w:sz w:val="28"/>
          <w:szCs w:val="28"/>
        </w:rPr>
      </w:pPr>
      <w:r>
        <w:rPr>
          <w:rFonts w:hint="eastAsia" w:ascii="仿宋_GB2312" w:hAnsi="宋体" w:eastAsia="宋体"/>
          <w:sz w:val="28"/>
          <w:szCs w:val="28"/>
        </w:rPr>
        <w:t>3、</w:t>
      </w:r>
      <w:r>
        <w:rPr>
          <w:rFonts w:hint="eastAsia" w:ascii="仿宋_GB2312" w:hAnsi="宋体" w:eastAsia="宋体"/>
          <w:color w:val="000000"/>
          <w:sz w:val="28"/>
          <w:szCs w:val="28"/>
        </w:rPr>
        <w:t>具備期權基礎知識，通過本所認可的相關測試</w:t>
      </w:r>
      <w:r>
        <w:rPr>
          <w:rFonts w:hint="eastAsia" w:ascii="仿宋_GB2312" w:hAnsi="宋体" w:eastAsia="宋体"/>
          <w:sz w:val="28"/>
          <w:szCs w:val="28"/>
        </w:rPr>
        <w:t>；</w:t>
      </w:r>
    </w:p>
    <w:p>
      <w:pPr>
        <w:ind w:firstLine="548" w:firstLineChars="196"/>
        <w:rPr>
          <w:rFonts w:ascii="仿宋_GB2312" w:eastAsia="仿宋_GB2312"/>
          <w:color w:val="000000"/>
          <w:sz w:val="28"/>
          <w:szCs w:val="28"/>
        </w:rPr>
      </w:pPr>
      <w:r>
        <w:rPr>
          <w:rFonts w:hint="eastAsia" w:ascii="仿宋_GB2312" w:hAnsi="宋体" w:eastAsia="宋体"/>
          <w:color w:val="000000"/>
          <w:sz w:val="28"/>
          <w:szCs w:val="28"/>
        </w:rPr>
        <w:t>認定標準：目前本所組織的期權知識測試有兩種形式，期權經營機構在營業部組織的網上期權知識測試和本所統一組織的現場培訓測試。通過知識測試的投資者，</w:t>
      </w:r>
      <w:r>
        <w:rPr>
          <w:rFonts w:hint="eastAsia" w:ascii="仿宋_GB2312" w:eastAsia="宋体"/>
          <w:color w:val="000000"/>
          <w:sz w:val="28"/>
          <w:szCs w:val="28"/>
        </w:rPr>
        <w:t>知識測試成績長期有效，並可用於在其他期權經營機構申請開戶。證券公司可登陸本所會員資訊服務平臺（https://sc.sseinfo.com/sc/login）查詢指定交易在本單位的投資者的知識測試成績；個人投資者可通過本所股票期權投教專區</w:t>
      </w:r>
      <w:r>
        <w:rPr>
          <w:rFonts w:hint="eastAsia" w:ascii="仿宋_GB2312" w:eastAsia="宋体"/>
          <w:sz w:val="28"/>
          <w:szCs w:val="28"/>
        </w:rPr>
        <w:t>（http://edu.sse.com.cn/option）</w:t>
      </w:r>
      <w:r>
        <w:rPr>
          <w:rFonts w:hint="eastAsia" w:ascii="仿宋_GB2312" w:eastAsia="宋体"/>
          <w:color w:val="000000"/>
          <w:sz w:val="28"/>
          <w:szCs w:val="28"/>
        </w:rPr>
        <w:t xml:space="preserve"> “投資者期權知識測試成績查詢”入口查詢本人測試成績。</w:t>
      </w:r>
    </w:p>
    <w:p>
      <w:pPr>
        <w:ind w:firstLine="548" w:firstLineChars="196"/>
        <w:rPr>
          <w:rFonts w:ascii="仿宋_GB2312" w:hAnsi="宋体" w:eastAsia="仿宋_GB2312"/>
          <w:sz w:val="28"/>
          <w:szCs w:val="28"/>
        </w:rPr>
      </w:pPr>
      <w:r>
        <w:rPr>
          <w:rFonts w:hint="eastAsia" w:ascii="仿宋_GB2312" w:hAnsi="宋体" w:eastAsia="宋体"/>
          <w:sz w:val="28"/>
          <w:szCs w:val="28"/>
        </w:rPr>
        <w:t>4、具有本所認可的期權模擬交易經歷；</w:t>
      </w:r>
    </w:p>
    <w:p>
      <w:pPr>
        <w:ind w:firstLine="548" w:firstLineChars="196"/>
        <w:rPr>
          <w:rFonts w:ascii="仿宋_GB2312" w:hAnsi="宋体" w:eastAsia="仿宋_GB2312"/>
          <w:sz w:val="28"/>
          <w:szCs w:val="28"/>
        </w:rPr>
      </w:pPr>
      <w:r>
        <w:rPr>
          <w:rFonts w:hint="eastAsia" w:ascii="仿宋_GB2312" w:hAnsi="宋体" w:eastAsia="宋体"/>
          <w:sz w:val="28"/>
          <w:szCs w:val="28"/>
        </w:rPr>
        <w:t>認定標準：投資者期權模擬交易經歷，依據其參與本所期權模擬交易的記錄數據予以核定。證券公司</w:t>
      </w:r>
      <w:r>
        <w:rPr>
          <w:rFonts w:hint="eastAsia" w:ascii="仿宋_GB2312" w:eastAsia="宋体"/>
          <w:sz w:val="28"/>
          <w:szCs w:val="28"/>
        </w:rPr>
        <w:t>可登陸本所會員資訊服務平臺查詢指定交易在本單位的投資者的模擬交易經歷。</w:t>
      </w:r>
      <w:r>
        <w:rPr>
          <w:rFonts w:hint="eastAsia" w:ascii="华文仿宋" w:hAnsi="华文仿宋" w:eastAsia="宋体"/>
          <w:sz w:val="28"/>
          <w:szCs w:val="28"/>
        </w:rPr>
        <w:t>查詢頁面直接顯示投資者模擬交易經歷對應的級別，證券公司無需再查詢模擬交易細節。模擬交易經歷對應的級別以本所系統顯示為准。</w:t>
      </w:r>
    </w:p>
    <w:p>
      <w:pPr>
        <w:ind w:firstLine="548" w:firstLineChars="196"/>
        <w:rPr>
          <w:rFonts w:ascii="仿宋_GB2312" w:hAnsi="宋体" w:eastAsia="仿宋_GB2312"/>
          <w:sz w:val="28"/>
          <w:szCs w:val="28"/>
        </w:rPr>
      </w:pPr>
      <w:r>
        <w:rPr>
          <w:rFonts w:hint="eastAsia" w:ascii="仿宋_GB2312" w:hAnsi="宋体" w:eastAsia="宋体"/>
          <w:sz w:val="28"/>
          <w:szCs w:val="28"/>
        </w:rPr>
        <w:t>5、具有相應的風險承受能力；</w:t>
      </w:r>
    </w:p>
    <w:p>
      <w:pPr>
        <w:ind w:firstLine="548" w:firstLineChars="196"/>
        <w:rPr>
          <w:rFonts w:ascii="仿宋_GB2312" w:eastAsia="仿宋_GB2312"/>
          <w:color w:val="000000"/>
          <w:sz w:val="28"/>
          <w:szCs w:val="28"/>
        </w:rPr>
      </w:pPr>
      <w:r>
        <w:rPr>
          <w:rFonts w:hint="eastAsia" w:ascii="仿宋_GB2312" w:eastAsia="宋体"/>
          <w:color w:val="000000"/>
          <w:sz w:val="28"/>
          <w:szCs w:val="28"/>
        </w:rPr>
        <w:t>認定標準:期權經營機構應當對投資者的風險承受能力進行評估。1年內對該投資者進行過風險承受能力評估的，可不重做評估。對於風險承受能力評估中未達“穩健”或相應等級的投資者，建議期權經營機構不為其開立期權帳戶。</w:t>
      </w:r>
    </w:p>
    <w:p>
      <w:pPr>
        <w:ind w:firstLine="548" w:firstLineChars="196"/>
        <w:rPr>
          <w:rFonts w:ascii="仿宋_GB2312" w:hAnsi="宋体" w:eastAsia="仿宋_GB2312"/>
          <w:sz w:val="28"/>
          <w:szCs w:val="28"/>
        </w:rPr>
      </w:pPr>
      <w:r>
        <w:rPr>
          <w:rFonts w:hint="eastAsia" w:ascii="仿宋_GB2312" w:hAnsi="宋体" w:eastAsia="宋体"/>
          <w:sz w:val="28"/>
          <w:szCs w:val="28"/>
        </w:rPr>
        <w:t>6、不存在嚴重不良誠信記錄，不存在法律、法規、規章和本所業務規則禁止或者限制從事期權交易的情形；</w:t>
      </w:r>
    </w:p>
    <w:p>
      <w:pPr>
        <w:widowControl/>
        <w:shd w:val="clear" w:color="auto" w:fill="FFFFFF"/>
        <w:spacing w:after="150" w:line="336" w:lineRule="atLeast"/>
        <w:ind w:firstLine="560" w:firstLineChars="200"/>
        <w:jc w:val="left"/>
        <w:rPr>
          <w:rFonts w:ascii="仿宋_GB2312" w:hAnsi="宋体" w:eastAsia="仿宋_GB2312"/>
          <w:sz w:val="28"/>
          <w:szCs w:val="28"/>
        </w:rPr>
      </w:pPr>
      <w:r>
        <w:rPr>
          <w:rFonts w:hint="eastAsia" w:ascii="仿宋_GB2312" w:hAnsi="宋体" w:eastAsia="宋体"/>
          <w:sz w:val="28"/>
          <w:szCs w:val="28"/>
        </w:rPr>
        <w:t>認定標準：法律、法規、規章禁止或者限制從事期權交易的情形，如國家外匯管理局《關於改革外商投資企業外匯資本金結匯管理方式的通知》規定，外商投資企業資本金及其結匯所得人民幣資金不得直接或間接用於證券投資。證券公司應當加強外商投資企業客戶的資金來源核查工作，必要時可以要求客戶提交相關承諾書。</w:t>
      </w:r>
      <w:r>
        <w:rPr>
          <w:rFonts w:ascii="仿宋_GB2312" w:hAnsi="宋体" w:eastAsia="宋体"/>
          <w:sz w:val="28"/>
          <w:szCs w:val="28"/>
        </w:rPr>
        <w:t xml:space="preserve"> </w:t>
      </w:r>
    </w:p>
    <w:p>
      <w:pPr>
        <w:ind w:firstLine="548" w:firstLineChars="196"/>
        <w:rPr>
          <w:rFonts w:ascii="仿宋_GB2312" w:hAnsi="宋体" w:eastAsia="仿宋_GB2312"/>
          <w:sz w:val="28"/>
          <w:szCs w:val="28"/>
        </w:rPr>
      </w:pPr>
      <w:r>
        <w:rPr>
          <w:rFonts w:hint="eastAsia" w:ascii="仿宋_GB2312" w:hAnsi="宋体" w:eastAsia="宋体"/>
          <w:sz w:val="28"/>
          <w:szCs w:val="28"/>
        </w:rPr>
        <w:t>7、本所規定的其他條件。</w:t>
      </w:r>
    </w:p>
    <w:p>
      <w:pPr>
        <w:ind w:firstLine="560" w:firstLineChars="200"/>
        <w:rPr>
          <w:rFonts w:ascii="仿宋_GB2312" w:hAnsi="宋体" w:eastAsia="仿宋_GB2312"/>
          <w:sz w:val="28"/>
          <w:szCs w:val="28"/>
        </w:rPr>
      </w:pPr>
      <w:r>
        <w:rPr>
          <w:rFonts w:hint="eastAsia" w:ascii="仿宋_GB2312" w:hAnsi="宋体" w:eastAsia="宋体"/>
          <w:sz w:val="28"/>
          <w:szCs w:val="28"/>
        </w:rPr>
        <w:t>個人投資者參與期權交易，應當通過期權經營機構組織的期權投資者適當性綜合評估。</w:t>
      </w:r>
      <w:r>
        <w:rPr>
          <w:rFonts w:hint="eastAsia" w:ascii="仿宋_GB2312" w:hAnsi="宋体" w:eastAsia="宋体"/>
          <w:color w:val="000000"/>
          <w:kern w:val="0"/>
          <w:sz w:val="28"/>
          <w:szCs w:val="28"/>
        </w:rPr>
        <w:t>港澳臺投資者只要滿足《上海證券交易所股票期權試點投資者適當性管理指引》相關要求，可參與期權交易。</w:t>
      </w:r>
    </w:p>
    <w:p>
      <w:pPr>
        <w:ind w:firstLine="562" w:firstLineChars="200"/>
        <w:rPr>
          <w:rFonts w:ascii="仿宋_GB2312" w:eastAsia="仿宋_GB2312"/>
          <w:b/>
          <w:sz w:val="28"/>
          <w:szCs w:val="28"/>
        </w:rPr>
      </w:pPr>
      <w:bookmarkStart w:id="104" w:name="_Toc406438887"/>
      <w:r>
        <w:rPr>
          <w:rFonts w:hint="eastAsia" w:ascii="仿宋_GB2312" w:eastAsia="宋体"/>
          <w:b/>
          <w:sz w:val="28"/>
          <w:szCs w:val="28"/>
        </w:rPr>
        <w:t>（二）普通機構投資者</w:t>
      </w:r>
      <w:bookmarkEnd w:id="104"/>
    </w:p>
    <w:p>
      <w:pPr>
        <w:ind w:firstLine="548" w:firstLineChars="196"/>
        <w:rPr>
          <w:rFonts w:ascii="仿宋_GB2312" w:hAnsi="宋体" w:eastAsia="仿宋_GB2312"/>
          <w:sz w:val="28"/>
          <w:szCs w:val="28"/>
        </w:rPr>
      </w:pPr>
      <w:r>
        <w:rPr>
          <w:rFonts w:hint="eastAsia" w:ascii="仿宋_GB2312" w:hAnsi="宋体" w:eastAsia="宋体"/>
          <w:sz w:val="28"/>
          <w:szCs w:val="28"/>
        </w:rPr>
        <w:t>普通機構投資者參與期權交易，應當符合下列條件，具體認定標準參照個人投資者執行：</w:t>
      </w:r>
    </w:p>
    <w:p>
      <w:pPr>
        <w:ind w:firstLine="548" w:firstLineChars="196"/>
        <w:rPr>
          <w:rFonts w:ascii="仿宋_GB2312" w:hAnsi="宋体" w:eastAsia="仿宋_GB2312"/>
          <w:sz w:val="28"/>
          <w:szCs w:val="28"/>
        </w:rPr>
      </w:pPr>
      <w:r>
        <w:rPr>
          <w:rFonts w:hint="eastAsia" w:ascii="仿宋_GB2312" w:hAnsi="宋体" w:eastAsia="宋体"/>
          <w:sz w:val="28"/>
          <w:szCs w:val="28"/>
        </w:rPr>
        <w:t>1、申請開戶時託管在其委託的證券公司的證券市值與資金帳戶可用餘額（不含通過融資融券交易融入的證券和資金），合計不低於人民幣100萬元；</w:t>
      </w:r>
    </w:p>
    <w:p>
      <w:pPr>
        <w:ind w:firstLine="548" w:firstLineChars="196"/>
        <w:rPr>
          <w:rFonts w:ascii="仿宋_GB2312" w:hAnsi="宋体" w:eastAsia="仿宋_GB2312"/>
          <w:sz w:val="28"/>
          <w:szCs w:val="28"/>
        </w:rPr>
      </w:pPr>
      <w:r>
        <w:rPr>
          <w:rFonts w:hint="eastAsia" w:ascii="仿宋_GB2312" w:hAnsi="宋体" w:eastAsia="宋体"/>
          <w:sz w:val="28"/>
          <w:szCs w:val="28"/>
        </w:rPr>
        <w:t>2、上一季度末淨資產不低於人民幣100萬元（新成立的機構取最近淨資產）；</w:t>
      </w:r>
    </w:p>
    <w:p>
      <w:pPr>
        <w:ind w:firstLine="548" w:firstLineChars="196"/>
        <w:rPr>
          <w:rFonts w:ascii="仿宋_GB2312" w:hAnsi="宋体" w:eastAsia="仿宋_GB2312"/>
          <w:sz w:val="28"/>
          <w:szCs w:val="28"/>
        </w:rPr>
      </w:pPr>
      <w:r>
        <w:rPr>
          <w:rFonts w:hint="eastAsia" w:ascii="仿宋_GB2312" w:hAnsi="宋体" w:eastAsia="宋体"/>
          <w:sz w:val="28"/>
          <w:szCs w:val="28"/>
        </w:rPr>
        <w:t>3、相關業務人員具備期權基礎知識，通過本所認可的相關知識測試；相關業務人員主要是指期權投資決策人員以及下單人員；</w:t>
      </w:r>
    </w:p>
    <w:p>
      <w:pPr>
        <w:ind w:firstLine="548" w:firstLineChars="196"/>
        <w:rPr>
          <w:rFonts w:ascii="仿宋_GB2312" w:hAnsi="宋体" w:eastAsia="仿宋_GB2312"/>
          <w:sz w:val="28"/>
          <w:szCs w:val="28"/>
        </w:rPr>
      </w:pPr>
      <w:r>
        <w:rPr>
          <w:rFonts w:hint="eastAsia" w:ascii="仿宋_GB2312" w:hAnsi="宋体" w:eastAsia="宋体"/>
          <w:sz w:val="28"/>
          <w:szCs w:val="28"/>
        </w:rPr>
        <w:t>4、相關業務人員具有與三級期權交易許可權相對應的本所認可的期權模擬交易經歷（通過該機構開設的期權模擬帳戶來完成）；</w:t>
      </w:r>
    </w:p>
    <w:p>
      <w:pPr>
        <w:ind w:firstLine="548" w:firstLineChars="196"/>
        <w:rPr>
          <w:rFonts w:ascii="仿宋_GB2312" w:hAnsi="宋体" w:eastAsia="仿宋_GB2312"/>
          <w:sz w:val="28"/>
          <w:szCs w:val="28"/>
        </w:rPr>
      </w:pPr>
      <w:r>
        <w:rPr>
          <w:rFonts w:hint="eastAsia" w:ascii="仿宋_GB2312" w:hAnsi="宋体" w:eastAsia="宋体"/>
          <w:sz w:val="28"/>
          <w:szCs w:val="28"/>
        </w:rPr>
        <w:t>5、不存在嚴重不良誠信記錄和法律、法規、規章和本所業務規則禁止或者限制從事期權交易的情形；</w:t>
      </w:r>
    </w:p>
    <w:p>
      <w:pPr>
        <w:ind w:firstLine="548" w:firstLineChars="196"/>
        <w:rPr>
          <w:rFonts w:ascii="仿宋_GB2312" w:hAnsi="宋体" w:eastAsia="仿宋_GB2312"/>
          <w:sz w:val="28"/>
          <w:szCs w:val="28"/>
        </w:rPr>
      </w:pPr>
      <w:r>
        <w:rPr>
          <w:rFonts w:hint="eastAsia" w:ascii="仿宋_GB2312" w:hAnsi="宋体" w:eastAsia="宋体"/>
          <w:sz w:val="28"/>
          <w:szCs w:val="28"/>
        </w:rPr>
        <w:t>6、本所規定的其他條件。</w:t>
      </w:r>
    </w:p>
    <w:p>
      <w:pPr>
        <w:ind w:firstLine="562" w:firstLineChars="200"/>
        <w:rPr>
          <w:rFonts w:ascii="仿宋_GB2312" w:eastAsia="仿宋_GB2312"/>
          <w:b/>
          <w:sz w:val="28"/>
          <w:szCs w:val="28"/>
        </w:rPr>
      </w:pPr>
      <w:bookmarkStart w:id="105" w:name="_Toc406438888"/>
      <w:r>
        <w:rPr>
          <w:rFonts w:hint="eastAsia" w:ascii="仿宋_GB2312" w:eastAsia="宋体"/>
          <w:b/>
          <w:sz w:val="28"/>
          <w:szCs w:val="28"/>
        </w:rPr>
        <w:t>（三）專業機構投資者</w:t>
      </w:r>
      <w:bookmarkEnd w:id="105"/>
    </w:p>
    <w:p>
      <w:pPr>
        <w:ind w:firstLine="560"/>
        <w:rPr>
          <w:rFonts w:ascii="仿宋_GB2312" w:hAnsi="宋体" w:eastAsia="仿宋_GB2312"/>
          <w:sz w:val="28"/>
          <w:szCs w:val="28"/>
        </w:rPr>
      </w:pPr>
      <w:r>
        <w:rPr>
          <w:rFonts w:hint="eastAsia" w:ascii="仿宋_GB2312" w:hAnsi="宋体" w:eastAsia="宋体"/>
          <w:sz w:val="28"/>
          <w:szCs w:val="28"/>
        </w:rPr>
        <w:t>除法律、法規、規章以及監管機構另有規定外，下列專業機構投資者參與期權交易，不對其進行適當性管理綜合評估：</w:t>
      </w:r>
    </w:p>
    <w:p>
      <w:pPr>
        <w:ind w:firstLine="602"/>
        <w:rPr>
          <w:rFonts w:ascii="仿宋_GB2312" w:hAnsi="宋体" w:eastAsia="仿宋_GB2312"/>
          <w:sz w:val="28"/>
          <w:szCs w:val="28"/>
        </w:rPr>
      </w:pPr>
      <w:r>
        <w:rPr>
          <w:rFonts w:hint="eastAsia" w:ascii="仿宋_GB2312" w:hAnsi="宋体" w:eastAsia="宋体"/>
          <w:sz w:val="28"/>
          <w:szCs w:val="28"/>
        </w:rPr>
        <w:t>1、商業銀行、期權經營機構、保險機構、信託公司、基金管理公司、財務公司、合格境外機構投資者等專業機構及其分支機構；</w:t>
      </w:r>
    </w:p>
    <w:p>
      <w:pPr>
        <w:ind w:firstLine="602"/>
        <w:rPr>
          <w:rFonts w:ascii="仿宋_GB2312" w:hAnsi="宋体" w:eastAsia="仿宋_GB2312"/>
          <w:sz w:val="28"/>
          <w:szCs w:val="28"/>
        </w:rPr>
      </w:pPr>
      <w:r>
        <w:rPr>
          <w:rFonts w:hint="eastAsia" w:ascii="仿宋_GB2312" w:hAnsi="宋体" w:eastAsia="宋体"/>
          <w:sz w:val="28"/>
          <w:szCs w:val="28"/>
        </w:rPr>
        <w:t>2、證券投資基金、社保基金、養老基金、企業年金、信託計畫、資產管理計畫、銀行及保險理財產品、在中國證券投資基金業協會備案的私募基金，以及由第一項所列專業機構擔任管理人的其他基金或者委託投資資產；</w:t>
      </w:r>
    </w:p>
    <w:p>
      <w:pPr>
        <w:ind w:firstLine="602"/>
        <w:rPr>
          <w:rFonts w:ascii="仿宋_GB2312" w:hAnsi="宋体" w:eastAsia="仿宋_GB2312"/>
          <w:sz w:val="28"/>
          <w:szCs w:val="28"/>
        </w:rPr>
      </w:pPr>
      <w:r>
        <w:rPr>
          <w:rFonts w:hint="eastAsia" w:ascii="仿宋_GB2312" w:hAnsi="宋体" w:eastAsia="宋体"/>
          <w:sz w:val="28"/>
          <w:szCs w:val="28"/>
        </w:rPr>
        <w:t>3、監管機構及本所規定的其他專業機構投資者。</w:t>
      </w:r>
    </w:p>
    <w:p>
      <w:pPr>
        <w:ind w:firstLine="602"/>
        <w:rPr>
          <w:rFonts w:ascii="仿宋_GB2312" w:hAnsi="宋体" w:eastAsia="仿宋_GB2312"/>
          <w:sz w:val="28"/>
          <w:szCs w:val="28"/>
        </w:rPr>
      </w:pPr>
      <w:r>
        <w:rPr>
          <w:rFonts w:hint="eastAsia" w:ascii="仿宋_GB2312" w:hAnsi="宋体" w:eastAsia="宋体"/>
          <w:sz w:val="28"/>
          <w:szCs w:val="28"/>
        </w:rPr>
        <w:t>股票期權上線初期，根據《合格境外機構投資者境內證券投資管理辦法》和《上海證券交易所滬港通試點辦法》，合格境外機構投資者（QFII）和滬股通投資者暫時不能交易股票期權產品。</w:t>
      </w:r>
    </w:p>
    <w:p>
      <w:pPr>
        <w:pStyle w:val="2"/>
        <w:ind w:firstLine="562" w:firstLineChars="200"/>
        <w:jc w:val="both"/>
        <w:rPr>
          <w:szCs w:val="28"/>
        </w:rPr>
      </w:pPr>
      <w:bookmarkStart w:id="106" w:name="_Toc406438889"/>
      <w:bookmarkStart w:id="107" w:name="_Toc408749984"/>
      <w:bookmarkStart w:id="108" w:name="_Toc29696"/>
      <w:bookmarkStart w:id="109" w:name="_Toc12636"/>
      <w:bookmarkStart w:id="110" w:name="_Toc28057"/>
      <w:bookmarkStart w:id="111" w:name="_Toc452017005"/>
      <w:bookmarkStart w:id="112" w:name="_Toc23947140"/>
      <w:r>
        <w:rPr>
          <w:rFonts w:hint="eastAsia" w:eastAsia="宋体"/>
          <w:szCs w:val="28"/>
        </w:rPr>
        <w:t>二、綜合評估</w:t>
      </w:r>
      <w:bookmarkEnd w:id="106"/>
      <w:bookmarkEnd w:id="107"/>
      <w:bookmarkEnd w:id="108"/>
      <w:bookmarkEnd w:id="109"/>
      <w:bookmarkEnd w:id="110"/>
      <w:bookmarkEnd w:id="111"/>
      <w:bookmarkEnd w:id="112"/>
    </w:p>
    <w:p>
      <w:pPr>
        <w:ind w:firstLine="601"/>
        <w:rPr>
          <w:rFonts w:ascii="仿宋_GB2312" w:hAnsi="宋体" w:eastAsia="仿宋_GB2312"/>
          <w:sz w:val="28"/>
          <w:szCs w:val="28"/>
        </w:rPr>
      </w:pPr>
      <w:r>
        <w:rPr>
          <w:rFonts w:hint="eastAsia" w:ascii="仿宋_GB2312" w:hAnsi="宋体" w:eastAsia="宋体"/>
          <w:sz w:val="28"/>
          <w:szCs w:val="28"/>
        </w:rPr>
        <w:t>證券公司應當制定期權投資者適當性管理綜合評估（以下簡稱“綜合評估”）的實施辦法，選擇適當的投資者參與期權交易。</w:t>
      </w:r>
    </w:p>
    <w:p>
      <w:pPr>
        <w:ind w:firstLine="601"/>
        <w:rPr>
          <w:rFonts w:ascii="仿宋_GB2312" w:hAnsi="宋体" w:eastAsia="仿宋_GB2312"/>
          <w:sz w:val="28"/>
          <w:szCs w:val="28"/>
        </w:rPr>
      </w:pPr>
      <w:r>
        <w:rPr>
          <w:rFonts w:hint="eastAsia" w:ascii="仿宋_GB2312" w:hAnsi="宋体" w:eastAsia="宋体"/>
          <w:sz w:val="28"/>
          <w:szCs w:val="28"/>
        </w:rPr>
        <w:t>證券公司應當對個人投資者的基本情況、風險承受能力、相關投資經歷、金融類資產狀況、期權知識水準等方面進行綜合評估。證券公司可根據投資者適當性管理的相關規定，編制《股票期權投資者適當性綜合評估表》（參考樣表見附件一）</w:t>
      </w:r>
      <w:r>
        <w:rPr>
          <w:rFonts w:hint="eastAsia" w:ascii="仿宋_GB2312" w:hAnsi="仿宋" w:eastAsia="宋体" w:cs="宋体"/>
          <w:color w:val="000000"/>
          <w:kern w:val="0"/>
          <w:sz w:val="24"/>
          <w:szCs w:val="24"/>
        </w:rPr>
        <w:t>。</w:t>
      </w:r>
      <w:r>
        <w:rPr>
          <w:rFonts w:hint="eastAsia" w:ascii="仿宋_GB2312" w:hAnsi="宋体" w:eastAsia="宋体"/>
          <w:sz w:val="28"/>
          <w:szCs w:val="28"/>
        </w:rPr>
        <w:t>該表只需經辦人及證券公司營業部負責人或其授權人簽字確認即可。在審批流程中證券公司可以使用電子簽章；有完備電子流程的，上述人員無需在紙面檔上簽名。綜合評估分數低於證券公司設定分值的，證券公司不得為其辦理開戶。證券公司應當向客戶明確告知綜合評估結果，提示其審慎參與期權交易，並對所做提示記錄留存。</w:t>
      </w:r>
    </w:p>
    <w:p>
      <w:pPr>
        <w:ind w:firstLine="602"/>
        <w:rPr>
          <w:rFonts w:ascii="仿宋_GB2312" w:hAnsi="宋体" w:eastAsia="仿宋_GB2312"/>
          <w:sz w:val="28"/>
          <w:szCs w:val="28"/>
        </w:rPr>
      </w:pPr>
      <w:r>
        <w:rPr>
          <w:rFonts w:hint="eastAsia" w:ascii="仿宋_GB2312" w:hAnsi="宋体" w:eastAsia="宋体"/>
          <w:sz w:val="28"/>
          <w:szCs w:val="28"/>
        </w:rPr>
        <w:t>證券公司應當要求投資者進行現場開戶，試點期間不得採取見證開戶、網上開戶及其他開戶方式。</w:t>
      </w:r>
    </w:p>
    <w:p>
      <w:pPr>
        <w:ind w:firstLine="602"/>
        <w:rPr>
          <w:rFonts w:ascii="仿宋_GB2312" w:hAnsi="宋体" w:eastAsia="仿宋_GB2312"/>
          <w:sz w:val="28"/>
          <w:szCs w:val="28"/>
        </w:rPr>
      </w:pPr>
      <w:r>
        <w:rPr>
          <w:rFonts w:hint="eastAsia" w:ascii="仿宋_GB2312" w:hAnsi="宋体" w:eastAsia="宋体"/>
          <w:sz w:val="28"/>
          <w:szCs w:val="28"/>
        </w:rPr>
        <w:t>本著“在哪里開戶，由哪里負責適當性評估”的基本原則，期貨公司IB介紹開戶的投資者，其適當性管理由投資者開戶所在證券公司負責。</w:t>
      </w:r>
    </w:p>
    <w:p>
      <w:pPr>
        <w:pStyle w:val="2"/>
        <w:ind w:firstLine="562" w:firstLineChars="200"/>
        <w:jc w:val="both"/>
      </w:pPr>
      <w:bookmarkStart w:id="113" w:name="_Toc408749985"/>
      <w:bookmarkStart w:id="114" w:name="_Toc21860"/>
      <w:bookmarkStart w:id="115" w:name="_Toc19277"/>
      <w:bookmarkStart w:id="116" w:name="_Toc3673"/>
      <w:bookmarkStart w:id="117" w:name="_Toc406438890"/>
      <w:bookmarkStart w:id="118" w:name="_Toc452017006"/>
      <w:bookmarkStart w:id="119" w:name="_Toc23947141"/>
      <w:r>
        <w:rPr>
          <w:rFonts w:hint="eastAsia" w:eastAsia="宋体"/>
        </w:rPr>
        <w:t>三、期權知識測試</w:t>
      </w:r>
      <w:bookmarkEnd w:id="113"/>
      <w:bookmarkEnd w:id="114"/>
      <w:bookmarkEnd w:id="115"/>
      <w:bookmarkEnd w:id="116"/>
      <w:bookmarkEnd w:id="117"/>
      <w:bookmarkEnd w:id="118"/>
      <w:bookmarkEnd w:id="119"/>
    </w:p>
    <w:p>
      <w:pPr>
        <w:spacing w:line="360" w:lineRule="auto"/>
        <w:ind w:firstLine="560" w:firstLineChars="200"/>
        <w:rPr>
          <w:rFonts w:ascii="仿宋_GB2312" w:eastAsia="仿宋_GB2312"/>
          <w:color w:val="000000"/>
          <w:sz w:val="28"/>
          <w:szCs w:val="28"/>
        </w:rPr>
      </w:pPr>
      <w:r>
        <w:rPr>
          <w:rFonts w:hint="eastAsia" w:ascii="仿宋_GB2312" w:eastAsia="宋体"/>
          <w:color w:val="000000"/>
          <w:sz w:val="28"/>
          <w:szCs w:val="28"/>
        </w:rPr>
        <w:t>（一）考試要求</w:t>
      </w:r>
    </w:p>
    <w:p>
      <w:pPr>
        <w:ind w:firstLine="560" w:firstLineChars="200"/>
        <w:rPr>
          <w:rFonts w:ascii="仿宋_GB2312" w:eastAsia="仿宋_GB2312"/>
          <w:color w:val="000000"/>
          <w:sz w:val="28"/>
          <w:szCs w:val="28"/>
        </w:rPr>
      </w:pPr>
      <w:r>
        <w:rPr>
          <w:rFonts w:hint="eastAsia" w:ascii="仿宋_GB2312" w:eastAsia="宋体"/>
          <w:color w:val="000000"/>
          <w:sz w:val="28"/>
          <w:szCs w:val="28"/>
        </w:rPr>
        <w:t>證券公司可根據本公司實際情況及業務規劃，在部分或全部分支機構開設期權知識測試考場。擬開設考場的分支機構應當按要求設置 “專區、專人、專機”。公司總部對分支機構準備情況驗收合格後，方可通過該分支機構組織投資者期權知識測試。</w:t>
      </w:r>
    </w:p>
    <w:p>
      <w:pPr>
        <w:ind w:firstLine="560" w:firstLineChars="200"/>
        <w:rPr>
          <w:rFonts w:ascii="仿宋_GB2312" w:eastAsia="仿宋_GB2312"/>
          <w:color w:val="000000"/>
          <w:sz w:val="28"/>
          <w:szCs w:val="28"/>
        </w:rPr>
      </w:pPr>
      <w:r>
        <w:rPr>
          <w:rFonts w:hint="eastAsia" w:ascii="仿宋_GB2312" w:eastAsia="宋体"/>
          <w:color w:val="000000"/>
          <w:sz w:val="28"/>
          <w:szCs w:val="28"/>
        </w:rPr>
        <w:t>“專區”：在營業部設置相對獨立的專門區域用於投資者測試，場地大小可視營業場所實際情況確定。專區內應張貼考試過程及紀律要求。“專人”：應配備專門的期權工作人員或客服人員組織測試。上述人員應具備一定的期權知識水準，同時熟悉測試組織要求和流程。客戶開發人員不得兼任測試組織人員。“專機”：應配備專門電腦，其配置應保證投資者順暢完成線上測試。</w:t>
      </w:r>
    </w:p>
    <w:p>
      <w:pPr>
        <w:ind w:firstLine="562" w:firstLineChars="200"/>
        <w:rPr>
          <w:rFonts w:ascii="仿宋_GB2312" w:eastAsia="仿宋_GB2312"/>
          <w:b/>
          <w:bCs/>
          <w:color w:val="000000"/>
          <w:sz w:val="28"/>
          <w:szCs w:val="28"/>
        </w:rPr>
      </w:pPr>
      <w:r>
        <w:rPr>
          <w:rFonts w:hint="eastAsia" w:ascii="仿宋_GB2312" w:eastAsia="宋体"/>
          <w:b/>
          <w:bCs/>
          <w:color w:val="000000"/>
          <w:sz w:val="28"/>
          <w:szCs w:val="28"/>
        </w:rPr>
        <w:t>（二）考試紀律</w:t>
      </w:r>
    </w:p>
    <w:p>
      <w:pPr>
        <w:ind w:firstLine="560" w:firstLineChars="200"/>
        <w:rPr>
          <w:rFonts w:ascii="仿宋_GB2312" w:eastAsia="仿宋_GB2312"/>
          <w:color w:val="000000"/>
          <w:sz w:val="28"/>
          <w:szCs w:val="28"/>
        </w:rPr>
      </w:pPr>
      <w:r>
        <w:rPr>
          <w:rFonts w:hint="eastAsia" w:ascii="仿宋_GB2312" w:eastAsia="宋体"/>
          <w:color w:val="000000"/>
          <w:sz w:val="28"/>
          <w:szCs w:val="28"/>
        </w:rPr>
        <w:t>證券公司應當負責核對投資者身份證明文件，確認投資者本人獨立、自主完成考試。投資者在規定的考試時間內不得查閱任何參考資料（包括但不限於印刷資料、手機、電腦等管道），不得向營業部監考工作人員詢問與考試內容有關的資訊。一旦發現作弊、替考等現象，本所將認定考試成績無效並採取相關自律監管措施。</w:t>
      </w:r>
    </w:p>
    <w:p>
      <w:pPr>
        <w:ind w:firstLine="562" w:firstLineChars="200"/>
        <w:rPr>
          <w:rFonts w:ascii="仿宋_GB2312" w:eastAsia="仿宋_GB2312"/>
          <w:color w:val="000000"/>
          <w:sz w:val="28"/>
          <w:szCs w:val="28"/>
        </w:rPr>
      </w:pPr>
      <w:r>
        <w:rPr>
          <w:rFonts w:hint="eastAsia" w:ascii="仿宋_GB2312" w:eastAsia="宋体"/>
          <w:b/>
          <w:bCs/>
          <w:color w:val="000000"/>
          <w:sz w:val="28"/>
          <w:szCs w:val="28"/>
        </w:rPr>
        <w:t>（三）考試錄影</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本所對期權投資者知識測試期間的錄影不做強制要求，但通過考試的投資者須朗讀或抄寫以下內容：“本人承諾，期權知識測試由本人獨立、自主完成，本人對考試成績負責”。證券公司須對此進行錄影或拍照存檔。參加交易所集中組織的期權培訓並現場進行知識測試的投資者，可以免去此朗讀抄寫環節。</w:t>
      </w:r>
    </w:p>
    <w:p>
      <w:pPr>
        <w:ind w:firstLine="562" w:firstLineChars="200"/>
        <w:rPr>
          <w:rFonts w:ascii="仿宋_GB2312" w:eastAsia="仿宋_GB2312"/>
          <w:color w:val="000000"/>
          <w:sz w:val="28"/>
          <w:szCs w:val="28"/>
        </w:rPr>
      </w:pPr>
      <w:r>
        <w:rPr>
          <w:rFonts w:hint="eastAsia" w:ascii="仿宋_GB2312" w:eastAsia="宋体"/>
          <w:b/>
          <w:bCs/>
          <w:color w:val="000000"/>
          <w:sz w:val="28"/>
          <w:szCs w:val="28"/>
        </w:rPr>
        <w:t>（四）考試形式</w:t>
      </w:r>
    </w:p>
    <w:p>
      <w:pPr>
        <w:ind w:firstLine="560" w:firstLineChars="200"/>
        <w:rPr>
          <w:rFonts w:ascii="仿宋_GB2312" w:eastAsia="仿宋_GB2312"/>
          <w:color w:val="000000"/>
          <w:sz w:val="28"/>
          <w:szCs w:val="28"/>
        </w:rPr>
      </w:pPr>
      <w:r>
        <w:rPr>
          <w:rFonts w:hint="eastAsia" w:ascii="仿宋_GB2312" w:eastAsia="宋体"/>
          <w:color w:val="000000"/>
          <w:sz w:val="28"/>
          <w:szCs w:val="28"/>
        </w:rPr>
        <w:t>個人期權投資者知識測試形式分為逐級考試和綜合卷考試。</w:t>
      </w:r>
    </w:p>
    <w:p>
      <w:pPr>
        <w:ind w:firstLine="560" w:firstLineChars="200"/>
        <w:rPr>
          <w:rFonts w:ascii="仿宋_GB2312" w:eastAsia="仿宋_GB2312"/>
          <w:color w:val="000000"/>
          <w:sz w:val="28"/>
          <w:szCs w:val="28"/>
        </w:rPr>
      </w:pPr>
      <w:r>
        <w:rPr>
          <w:rFonts w:hint="eastAsia" w:ascii="仿宋_GB2312" w:eastAsia="宋体"/>
          <w:color w:val="000000"/>
          <w:sz w:val="28"/>
          <w:szCs w:val="28"/>
        </w:rPr>
        <w:t>對於選擇逐級考試的個人投資者，參加並通過一級考試後，才能參加二級考試；參加並通過一級、二級考試後，才能參加三級考試。對於每個級別的考試，投資者均可多次參加，直至成績合格。</w:t>
      </w:r>
    </w:p>
    <w:p>
      <w:pPr>
        <w:ind w:firstLine="560" w:firstLineChars="200"/>
        <w:rPr>
          <w:rFonts w:ascii="仿宋_GB2312" w:eastAsia="仿宋_GB2312"/>
          <w:color w:val="000000"/>
          <w:sz w:val="28"/>
          <w:szCs w:val="28"/>
        </w:rPr>
      </w:pPr>
      <w:r>
        <w:rPr>
          <w:rFonts w:hint="eastAsia" w:ascii="仿宋_GB2312" w:eastAsia="宋体"/>
          <w:color w:val="000000"/>
          <w:sz w:val="28"/>
          <w:szCs w:val="28"/>
        </w:rPr>
        <w:t>對於選擇綜合</w:t>
      </w:r>
      <w:r>
        <w:rPr>
          <w:rFonts w:hint="eastAsia" w:ascii="宋体" w:hAnsi="宋体" w:eastAsia="宋体" w:cs="宋体"/>
          <w:color w:val="000000"/>
          <w:sz w:val="28"/>
          <w:szCs w:val="28"/>
        </w:rPr>
        <w:t>卷</w:t>
      </w:r>
      <w:r>
        <w:rPr>
          <w:rFonts w:hint="eastAsia" w:ascii="仿宋_GB2312" w:eastAsia="宋体"/>
          <w:color w:val="000000"/>
          <w:sz w:val="28"/>
          <w:szCs w:val="28"/>
        </w:rPr>
        <w:t>考試的個人投資者，也可多次參加，成績合格者直接成為三級投資者。</w:t>
      </w:r>
    </w:p>
    <w:p>
      <w:pPr>
        <w:ind w:firstLine="560" w:firstLineChars="200"/>
        <w:rPr>
          <w:rFonts w:ascii="仿宋_GB2312" w:eastAsia="仿宋_GB2312"/>
          <w:color w:val="000000"/>
          <w:sz w:val="28"/>
          <w:szCs w:val="28"/>
        </w:rPr>
      </w:pPr>
      <w:r>
        <w:rPr>
          <w:rFonts w:hint="eastAsia" w:ascii="仿宋_GB2312" w:eastAsia="宋体"/>
          <w:color w:val="000000"/>
          <w:sz w:val="28"/>
          <w:szCs w:val="28"/>
        </w:rPr>
        <w:t>普通機構投資者相關業務人員須參加機構投資者期權知識測試。</w:t>
      </w:r>
    </w:p>
    <w:p>
      <w:pPr>
        <w:ind w:firstLine="562" w:firstLineChars="200"/>
        <w:rPr>
          <w:rFonts w:ascii="仿宋_GB2312" w:eastAsia="仿宋_GB2312"/>
          <w:b/>
          <w:bCs/>
          <w:color w:val="000000"/>
          <w:sz w:val="28"/>
          <w:szCs w:val="28"/>
        </w:rPr>
      </w:pPr>
      <w:r>
        <w:rPr>
          <w:rFonts w:hint="eastAsia" w:ascii="仿宋_GB2312" w:eastAsia="宋体"/>
          <w:b/>
          <w:bCs/>
          <w:color w:val="000000"/>
          <w:sz w:val="28"/>
          <w:szCs w:val="28"/>
        </w:rPr>
        <w:t>（五）考試題目範圍與數量</w:t>
      </w:r>
    </w:p>
    <w:p>
      <w:pPr>
        <w:ind w:firstLine="560" w:firstLineChars="200"/>
        <w:rPr>
          <w:rFonts w:ascii="仿宋_GB2312" w:eastAsia="仿宋_GB2312"/>
          <w:color w:val="000000"/>
          <w:sz w:val="28"/>
          <w:szCs w:val="28"/>
        </w:rPr>
      </w:pPr>
      <w:r>
        <w:rPr>
          <w:rFonts w:hint="eastAsia" w:ascii="仿宋_GB2312" w:eastAsia="宋体"/>
          <w:color w:val="000000"/>
          <w:sz w:val="28"/>
          <w:szCs w:val="28"/>
        </w:rPr>
        <w:t xml:space="preserve">個人期權投資者知識測試範圍為《上海證券交易所期權投資者知識測試輔導讀本》第一章、第二章、第三章、第四章。 一級考試：共20題，每題5分，覆蓋第一章與第二章，其中第一章共12題，第二章共8題；二級考試，共10題，每題10分，覆蓋第三章；三級考試，共10題，每題10分，覆蓋第四章；綜合卷考試分為三個部分，共20題，每題5分。第一部分為第一章與第二章，共10題，其中第一章共6題、第二章共4題；第二部分為第三章，共5題；第三部分為第四章，共5題。 </w:t>
      </w:r>
    </w:p>
    <w:p>
      <w:pPr>
        <w:ind w:firstLine="560" w:firstLineChars="200"/>
        <w:rPr>
          <w:rFonts w:ascii="仿宋_GB2312" w:eastAsia="仿宋_GB2312"/>
          <w:sz w:val="28"/>
          <w:szCs w:val="28"/>
        </w:rPr>
      </w:pPr>
      <w:r>
        <w:rPr>
          <w:rFonts w:hint="eastAsia" w:ascii="仿宋_GB2312" w:eastAsia="宋体"/>
          <w:sz w:val="28"/>
          <w:szCs w:val="28"/>
        </w:rPr>
        <w:t>普通機構投資者相關業務人員測試範圍為第一章至第五章內容。</w:t>
      </w:r>
    </w:p>
    <w:p>
      <w:pPr>
        <w:ind w:firstLine="562" w:firstLineChars="200"/>
        <w:rPr>
          <w:rFonts w:ascii="仿宋_GB2312" w:eastAsia="仿宋_GB2312"/>
          <w:b/>
          <w:bCs/>
          <w:color w:val="000000"/>
          <w:sz w:val="28"/>
          <w:szCs w:val="28"/>
        </w:rPr>
      </w:pPr>
      <w:r>
        <w:rPr>
          <w:rFonts w:hint="eastAsia" w:ascii="仿宋_GB2312" w:eastAsia="宋体"/>
          <w:b/>
          <w:bCs/>
          <w:color w:val="000000"/>
          <w:sz w:val="28"/>
          <w:szCs w:val="28"/>
        </w:rPr>
        <w:t>（六）通過標準與考試時長</w:t>
      </w:r>
    </w:p>
    <w:p>
      <w:pPr>
        <w:ind w:firstLine="560" w:firstLineChars="200"/>
        <w:rPr>
          <w:rFonts w:ascii="仿宋_GB2312" w:eastAsia="仿宋_GB2312"/>
          <w:sz w:val="28"/>
          <w:szCs w:val="28"/>
        </w:rPr>
      </w:pPr>
      <w:r>
        <w:rPr>
          <w:rFonts w:hint="eastAsia" w:ascii="仿宋_GB2312" w:eastAsia="宋体"/>
          <w:sz w:val="28"/>
          <w:szCs w:val="28"/>
        </w:rPr>
        <w:t>逐級考試中各級考試總分100分，時間為20分鐘，70分為合格。</w:t>
      </w:r>
    </w:p>
    <w:p>
      <w:pPr>
        <w:ind w:firstLine="560" w:firstLineChars="200"/>
        <w:rPr>
          <w:rFonts w:ascii="仿宋_GB2312" w:eastAsia="仿宋_GB2312"/>
          <w:color w:val="000000"/>
          <w:sz w:val="28"/>
          <w:szCs w:val="28"/>
        </w:rPr>
      </w:pPr>
      <w:r>
        <w:rPr>
          <w:rFonts w:hint="eastAsia" w:ascii="仿宋_GB2312" w:eastAsia="宋体"/>
          <w:sz w:val="28"/>
          <w:szCs w:val="28"/>
        </w:rPr>
        <w:t>綜合卷考試總分100分，時間為30分鐘，總分不低於70分，且各部分正確率不低於</w:t>
      </w:r>
      <w:r>
        <w:rPr>
          <w:rFonts w:hint="eastAsia" w:ascii="仿宋_GB2312" w:eastAsia="宋体"/>
          <w:color w:val="000000"/>
          <w:sz w:val="28"/>
          <w:szCs w:val="28"/>
        </w:rPr>
        <w:t>60%為合格（即第一部分答對不少於6題，第二部分答對不少於3題，第三部分答對不少於3題）。</w:t>
      </w:r>
    </w:p>
    <w:p>
      <w:pPr>
        <w:ind w:firstLine="560" w:firstLineChars="200"/>
        <w:rPr>
          <w:rFonts w:ascii="仿宋_GB2312" w:eastAsia="仿宋_GB2312"/>
          <w:sz w:val="28"/>
          <w:szCs w:val="28"/>
        </w:rPr>
      </w:pPr>
      <w:r>
        <w:rPr>
          <w:rFonts w:hint="eastAsia" w:ascii="仿宋_GB2312" w:eastAsia="宋体"/>
          <w:sz w:val="28"/>
          <w:szCs w:val="28"/>
        </w:rPr>
        <w:t>普通機構投資者相關業務人員期權知識測試總分100分，時間為90分鐘，80分為及格。</w:t>
      </w:r>
    </w:p>
    <w:p>
      <w:pPr>
        <w:pStyle w:val="2"/>
        <w:ind w:firstLine="562" w:firstLineChars="200"/>
      </w:pPr>
      <w:bookmarkStart w:id="120" w:name="_Toc406438891"/>
      <w:bookmarkStart w:id="121" w:name="_Toc408749986"/>
      <w:bookmarkStart w:id="122" w:name="_Toc15423"/>
      <w:bookmarkStart w:id="123" w:name="_Toc9870"/>
      <w:bookmarkStart w:id="124" w:name="_Toc6908"/>
      <w:bookmarkStart w:id="125" w:name="_Toc452017007"/>
      <w:bookmarkStart w:id="126" w:name="_Toc23947142"/>
      <w:r>
        <w:rPr>
          <w:rFonts w:hint="eastAsia" w:eastAsia="宋体"/>
        </w:rPr>
        <w:t>四、投資者分級管理</w:t>
      </w:r>
      <w:bookmarkEnd w:id="120"/>
      <w:bookmarkEnd w:id="121"/>
      <w:bookmarkEnd w:id="122"/>
      <w:bookmarkEnd w:id="123"/>
      <w:bookmarkEnd w:id="124"/>
      <w:bookmarkEnd w:id="125"/>
      <w:bookmarkEnd w:id="126"/>
    </w:p>
    <w:p>
      <w:pPr>
        <w:ind w:firstLine="562" w:firstLineChars="200"/>
        <w:rPr>
          <w:rFonts w:ascii="仿宋_GB2312" w:eastAsia="仿宋_GB2312"/>
          <w:b/>
          <w:sz w:val="28"/>
          <w:szCs w:val="28"/>
        </w:rPr>
      </w:pPr>
      <w:bookmarkStart w:id="127" w:name="_Toc406438892"/>
      <w:r>
        <w:rPr>
          <w:rFonts w:hint="eastAsia" w:ascii="仿宋_GB2312" w:eastAsia="宋体"/>
          <w:b/>
          <w:sz w:val="28"/>
          <w:szCs w:val="28"/>
        </w:rPr>
        <w:t>（一）交易許可</w:t>
      </w:r>
      <w:bookmarkEnd w:id="127"/>
      <w:r>
        <w:rPr>
          <w:rFonts w:hint="eastAsia" w:ascii="仿宋_GB2312" w:eastAsia="宋体"/>
          <w:b/>
          <w:sz w:val="28"/>
          <w:szCs w:val="28"/>
        </w:rPr>
        <w:t>權</w:t>
      </w:r>
    </w:p>
    <w:p>
      <w:pPr>
        <w:ind w:firstLine="560" w:firstLineChars="200"/>
        <w:rPr>
          <w:rFonts w:ascii="仿宋_GB2312" w:hAnsi="宋体" w:eastAsia="仿宋_GB2312"/>
          <w:sz w:val="28"/>
          <w:szCs w:val="28"/>
        </w:rPr>
      </w:pPr>
      <w:r>
        <w:rPr>
          <w:rFonts w:hint="eastAsia" w:ascii="仿宋_GB2312" w:hAnsi="宋体" w:eastAsia="宋体"/>
          <w:sz w:val="28"/>
          <w:szCs w:val="28"/>
        </w:rPr>
        <w:t>個人投資者、普通機構投資者、專業機構投資者的交易許可權參見《上海證券交易所股票期權試點投資者適當性管理指引》。</w:t>
      </w:r>
    </w:p>
    <w:p>
      <w:pPr>
        <w:ind w:firstLine="562" w:firstLineChars="200"/>
        <w:rPr>
          <w:rFonts w:ascii="仿宋_GB2312" w:eastAsia="仿宋_GB2312"/>
          <w:b/>
          <w:sz w:val="28"/>
          <w:szCs w:val="28"/>
        </w:rPr>
      </w:pPr>
      <w:bookmarkStart w:id="128" w:name="_Toc406438893"/>
      <w:r>
        <w:rPr>
          <w:rFonts w:hint="eastAsia" w:ascii="仿宋_GB2312" w:eastAsia="宋体"/>
          <w:b/>
          <w:sz w:val="28"/>
          <w:szCs w:val="28"/>
        </w:rPr>
        <w:t>（二）交易許可權的申請條件</w:t>
      </w:r>
      <w:bookmarkEnd w:id="128"/>
    </w:p>
    <w:p>
      <w:pPr>
        <w:ind w:firstLine="560" w:firstLineChars="200"/>
        <w:rPr>
          <w:rFonts w:ascii="仿宋_GB2312" w:hAnsi="宋体" w:eastAsia="仿宋_GB2312"/>
          <w:sz w:val="28"/>
          <w:szCs w:val="28"/>
        </w:rPr>
      </w:pPr>
      <w:r>
        <w:rPr>
          <w:rFonts w:hint="eastAsia" w:ascii="仿宋_GB2312" w:hAnsi="宋体" w:eastAsia="宋体"/>
          <w:sz w:val="28"/>
          <w:szCs w:val="28"/>
        </w:rPr>
        <w:t>證券公司為投資者設置的交易許可權不能超出為其評定的交易級別。證券公司應根據投資者交易許可權的分級結果，對投資者的期權交易委託指令進行前端控制，對不符合交易許可權的交易委託予以拒絕和制止。</w:t>
      </w:r>
    </w:p>
    <w:p>
      <w:pPr>
        <w:ind w:firstLine="560" w:firstLineChars="200"/>
        <w:rPr>
          <w:rFonts w:ascii="仿宋_GB2312" w:hAnsi="宋体" w:eastAsia="仿宋_GB2312"/>
          <w:sz w:val="28"/>
          <w:szCs w:val="28"/>
        </w:rPr>
      </w:pPr>
      <w:r>
        <w:rPr>
          <w:rFonts w:hint="eastAsia" w:ascii="仿宋_GB2312" w:hAnsi="宋体" w:eastAsia="宋体"/>
          <w:sz w:val="28"/>
          <w:szCs w:val="28"/>
        </w:rPr>
        <w:t>個人投資者申請各級別交易許可權，除了通過適當性管理綜合評估，還應滿足以下要求：</w:t>
      </w:r>
    </w:p>
    <w:p>
      <w:pPr>
        <w:ind w:firstLine="560" w:firstLineChars="200"/>
        <w:rPr>
          <w:rFonts w:ascii="仿宋_GB2312" w:hAnsi="宋体" w:eastAsia="仿宋_GB2312"/>
          <w:sz w:val="28"/>
          <w:szCs w:val="28"/>
        </w:rPr>
      </w:pPr>
      <w:r>
        <w:rPr>
          <w:rFonts w:hint="eastAsia" w:ascii="仿宋_GB2312" w:hAnsi="宋体" w:eastAsia="宋体"/>
          <w:sz w:val="28"/>
          <w:szCs w:val="28"/>
        </w:rPr>
        <w:t>1、個人投資者申請各級別交易許可權，應當在對應級別的知識測試中達到本所規定的合格分數。</w:t>
      </w:r>
    </w:p>
    <w:p>
      <w:pPr>
        <w:ind w:firstLine="560" w:firstLineChars="200"/>
        <w:rPr>
          <w:rFonts w:ascii="仿宋_GB2312" w:hAnsi="宋体" w:eastAsia="仿宋_GB2312"/>
          <w:sz w:val="28"/>
          <w:szCs w:val="28"/>
        </w:rPr>
      </w:pPr>
      <w:r>
        <w:rPr>
          <w:rFonts w:hint="eastAsia" w:ascii="仿宋_GB2312" w:hAnsi="宋体" w:eastAsia="宋体"/>
          <w:sz w:val="28"/>
          <w:szCs w:val="28"/>
        </w:rPr>
        <w:t>2、個人投資者申請一級、二級或三級交易許可權的，應具備交易許可權相應的期權模擬交易經歷。</w:t>
      </w:r>
    </w:p>
    <w:p>
      <w:pPr>
        <w:pStyle w:val="2"/>
        <w:ind w:firstLine="562" w:firstLineChars="200"/>
      </w:pPr>
      <w:bookmarkStart w:id="129" w:name="_Toc406438894"/>
      <w:bookmarkStart w:id="130" w:name="_Toc408749987"/>
      <w:bookmarkStart w:id="131" w:name="_Toc19077"/>
      <w:bookmarkStart w:id="132" w:name="_Toc9603"/>
      <w:bookmarkStart w:id="133" w:name="_Toc8410"/>
      <w:bookmarkStart w:id="134" w:name="_Toc452017008"/>
      <w:bookmarkStart w:id="135" w:name="_Toc23947143"/>
      <w:r>
        <w:rPr>
          <w:rFonts w:hint="eastAsia" w:eastAsia="宋体"/>
        </w:rPr>
        <w:t>五、投資者適當性評估的動態持續管理</w:t>
      </w:r>
      <w:bookmarkEnd w:id="129"/>
      <w:bookmarkEnd w:id="130"/>
      <w:bookmarkEnd w:id="131"/>
      <w:bookmarkEnd w:id="132"/>
      <w:bookmarkEnd w:id="133"/>
      <w:bookmarkEnd w:id="134"/>
      <w:bookmarkEnd w:id="135"/>
    </w:p>
    <w:p>
      <w:pPr>
        <w:ind w:firstLine="562" w:firstLineChars="200"/>
        <w:rPr>
          <w:rFonts w:ascii="仿宋_GB2312" w:eastAsia="仿宋_GB2312"/>
          <w:b/>
          <w:sz w:val="28"/>
          <w:szCs w:val="28"/>
        </w:rPr>
      </w:pPr>
      <w:bookmarkStart w:id="136" w:name="_Toc406438895"/>
      <w:r>
        <w:rPr>
          <w:rFonts w:hint="eastAsia" w:ascii="仿宋_GB2312" w:eastAsia="宋体"/>
          <w:b/>
          <w:sz w:val="28"/>
          <w:szCs w:val="28"/>
        </w:rPr>
        <w:t>（一）期權投資者資訊更新</w:t>
      </w:r>
      <w:bookmarkEnd w:id="136"/>
    </w:p>
    <w:p>
      <w:pPr>
        <w:ind w:firstLine="560" w:firstLineChars="200"/>
        <w:rPr>
          <w:rFonts w:ascii="仿宋_GB2312" w:eastAsia="仿宋_GB2312"/>
          <w:color w:val="000000"/>
          <w:sz w:val="28"/>
          <w:szCs w:val="28"/>
        </w:rPr>
      </w:pPr>
      <w:r>
        <w:rPr>
          <w:rFonts w:hint="eastAsia" w:ascii="仿宋_GB2312" w:eastAsia="宋体"/>
          <w:color w:val="000000"/>
          <w:sz w:val="28"/>
          <w:szCs w:val="28"/>
        </w:rPr>
        <w:t>證券公司應當通過電話、電子郵件、網路、營業部現場交流等方式，動態跟蹤投資者開立衍生品合約帳戶時提供的基本資訊，持續瞭解投資者的基本情況、財務狀況以及期權交易參與情況等資訊。</w:t>
      </w:r>
    </w:p>
    <w:p>
      <w:pPr>
        <w:ind w:firstLine="560" w:firstLineChars="200"/>
        <w:rPr>
          <w:rFonts w:ascii="仿宋_GB2312" w:eastAsia="仿宋_GB2312"/>
          <w:color w:val="000000"/>
          <w:sz w:val="28"/>
          <w:szCs w:val="28"/>
        </w:rPr>
      </w:pPr>
      <w:r>
        <w:rPr>
          <w:rFonts w:hint="eastAsia" w:ascii="仿宋_GB2312" w:eastAsia="宋体"/>
          <w:color w:val="000000"/>
          <w:sz w:val="28"/>
          <w:szCs w:val="28"/>
        </w:rPr>
        <w:t>投資者提供的基本資訊發生變化的，應及時告知所在證券公司。證券公司發現客戶提供的聯絡方式等重要資訊發生變化的，應當及時瞭解並更新。</w:t>
      </w:r>
    </w:p>
    <w:p>
      <w:pPr>
        <w:ind w:firstLine="562" w:firstLineChars="200"/>
        <w:rPr>
          <w:rFonts w:ascii="仿宋_GB2312" w:eastAsia="仿宋_GB2312"/>
          <w:b/>
          <w:sz w:val="28"/>
          <w:szCs w:val="28"/>
        </w:rPr>
      </w:pPr>
      <w:bookmarkStart w:id="137" w:name="_Toc406438896"/>
      <w:r>
        <w:rPr>
          <w:rFonts w:hint="eastAsia" w:ascii="仿宋_GB2312" w:eastAsia="宋体"/>
          <w:b/>
          <w:sz w:val="28"/>
          <w:szCs w:val="28"/>
        </w:rPr>
        <w:t>（二）後續評估</w:t>
      </w:r>
      <w:bookmarkEnd w:id="137"/>
    </w:p>
    <w:p>
      <w:pPr>
        <w:ind w:firstLine="560" w:firstLineChars="200"/>
        <w:rPr>
          <w:rFonts w:ascii="仿宋_GB2312" w:eastAsia="仿宋_GB2312"/>
          <w:color w:val="000000"/>
          <w:sz w:val="28"/>
          <w:szCs w:val="28"/>
        </w:rPr>
      </w:pPr>
      <w:r>
        <w:rPr>
          <w:rFonts w:hint="eastAsia" w:ascii="仿宋_GB2312" w:eastAsia="宋体"/>
          <w:color w:val="000000"/>
          <w:sz w:val="28"/>
          <w:szCs w:val="28"/>
        </w:rPr>
        <w:t>證券公司應當根據對客戶（含個人投資者和普通機構投資者）情況的動態跟蹤和持續瞭解，至少每兩年對所有已開戶的客戶的交易情況、誠信記錄、風險承受能力、資產狀況等進行一次全面評估，判斷其是否符合適當性管理以及交易許可權分級管理的相關要求。評估結果應當予以記錄留存20年。</w:t>
      </w:r>
    </w:p>
    <w:p>
      <w:pPr>
        <w:ind w:firstLine="562" w:firstLineChars="200"/>
        <w:rPr>
          <w:rFonts w:ascii="仿宋_GB2312" w:eastAsia="仿宋_GB2312"/>
          <w:b/>
          <w:sz w:val="28"/>
          <w:szCs w:val="28"/>
        </w:rPr>
      </w:pPr>
      <w:bookmarkStart w:id="138" w:name="_Toc406438897"/>
      <w:r>
        <w:rPr>
          <w:rFonts w:hint="eastAsia" w:ascii="仿宋_GB2312" w:eastAsia="宋体"/>
          <w:b/>
          <w:sz w:val="28"/>
          <w:szCs w:val="28"/>
        </w:rPr>
        <w:t>（三）交易許可權調整</w:t>
      </w:r>
      <w:bookmarkEnd w:id="138"/>
    </w:p>
    <w:p>
      <w:pPr>
        <w:ind w:firstLine="560" w:firstLineChars="200"/>
        <w:rPr>
          <w:rFonts w:ascii="仿宋_GB2312" w:eastAsia="仿宋_GB2312"/>
          <w:color w:val="000000"/>
          <w:sz w:val="28"/>
          <w:szCs w:val="28"/>
        </w:rPr>
      </w:pPr>
      <w:r>
        <w:rPr>
          <w:rFonts w:hint="eastAsia" w:ascii="仿宋_GB2312" w:eastAsia="宋体"/>
          <w:color w:val="000000"/>
          <w:sz w:val="28"/>
          <w:szCs w:val="28"/>
        </w:rPr>
        <w:t>證券公司根據投資者申請並調整其交易許可權或者自行調低投資者交易許可權的，應當就調整後可能增加的投資風險或者可能喪失的交易許可權對投資者進行充分提示，並對相關告知和提示材料予以記錄留存20年。</w:t>
      </w:r>
    </w:p>
    <w:p>
      <w:pPr>
        <w:ind w:firstLine="560" w:firstLineChars="200"/>
        <w:rPr>
          <w:rFonts w:ascii="仿宋_GB2312" w:eastAsia="仿宋_GB2312"/>
          <w:color w:val="000000"/>
          <w:sz w:val="28"/>
          <w:szCs w:val="28"/>
        </w:rPr>
      </w:pPr>
      <w:r>
        <w:rPr>
          <w:rFonts w:hint="eastAsia" w:ascii="仿宋_GB2312" w:eastAsia="宋体"/>
          <w:color w:val="000000"/>
          <w:sz w:val="28"/>
          <w:szCs w:val="28"/>
        </w:rPr>
        <w:t>1、調高交易許可權</w:t>
      </w:r>
    </w:p>
    <w:p>
      <w:pPr>
        <w:ind w:firstLine="560" w:firstLineChars="200"/>
        <w:rPr>
          <w:rFonts w:ascii="仿宋_GB2312" w:eastAsia="仿宋_GB2312"/>
          <w:color w:val="000000"/>
          <w:sz w:val="28"/>
          <w:szCs w:val="28"/>
        </w:rPr>
      </w:pPr>
      <w:r>
        <w:rPr>
          <w:rFonts w:hint="eastAsia" w:ascii="仿宋_GB2312" w:eastAsia="宋体"/>
          <w:color w:val="000000"/>
          <w:sz w:val="28"/>
          <w:szCs w:val="28"/>
        </w:rPr>
        <w:t>投資者的知識測試成績、期權模擬交易經歷、風險承受能力以及金融類資產狀況等發生變化，滿足較高交易許可權對應的資格要求的，可以向證券公司申請調高其交易許可權。公司總部審核認定投資者的申請符合適當性管理要求的，可以對其交易許可權進行調整。證券公司不得自行調高投資者交易許可權。</w:t>
      </w:r>
    </w:p>
    <w:p>
      <w:pPr>
        <w:ind w:firstLine="560" w:firstLineChars="200"/>
        <w:rPr>
          <w:rFonts w:ascii="仿宋_GB2312" w:eastAsia="仿宋_GB2312"/>
          <w:color w:val="000000"/>
          <w:sz w:val="28"/>
          <w:szCs w:val="28"/>
        </w:rPr>
      </w:pPr>
      <w:r>
        <w:rPr>
          <w:rFonts w:hint="eastAsia" w:ascii="仿宋_GB2312" w:eastAsia="宋体"/>
          <w:color w:val="000000"/>
          <w:sz w:val="28"/>
          <w:szCs w:val="28"/>
        </w:rPr>
        <w:t>2、調低交易許可權</w:t>
      </w:r>
    </w:p>
    <w:p>
      <w:pPr>
        <w:ind w:firstLine="560" w:firstLineChars="200"/>
        <w:rPr>
          <w:rFonts w:ascii="仿宋_GB2312" w:eastAsia="仿宋_GB2312"/>
          <w:color w:val="000000"/>
          <w:sz w:val="28"/>
          <w:szCs w:val="28"/>
        </w:rPr>
      </w:pPr>
      <w:r>
        <w:rPr>
          <w:rFonts w:hint="eastAsia" w:ascii="仿宋_GB2312" w:eastAsia="宋体"/>
          <w:color w:val="000000"/>
          <w:sz w:val="28"/>
          <w:szCs w:val="28"/>
        </w:rPr>
        <w:t>投資者可以向證券公司申請調低其交易許可權，證券公司應當根據投資者要求，調低其交易許可權至相應級別。</w:t>
      </w:r>
    </w:p>
    <w:p>
      <w:pPr>
        <w:ind w:firstLine="560" w:firstLineChars="200"/>
        <w:rPr>
          <w:rFonts w:ascii="仿宋_GB2312" w:eastAsia="仿宋_GB2312"/>
          <w:color w:val="000000"/>
          <w:sz w:val="28"/>
          <w:szCs w:val="28"/>
        </w:rPr>
      </w:pPr>
      <w:r>
        <w:rPr>
          <w:rFonts w:hint="eastAsia" w:ascii="仿宋_GB2312" w:eastAsia="宋体"/>
          <w:color w:val="000000"/>
          <w:sz w:val="28"/>
          <w:szCs w:val="28"/>
        </w:rPr>
        <w:t>證券公司發現投資者的實際情況已經不符合其交易許可權對應的資格要求的，可以自行調低投資者交易許可權，並應當至少提前三個交易日通過紙面或者電子形式告知投資者，明確提醒投資者因交易許可權調低帶來的後果，並予以記錄留存20年。</w:t>
      </w:r>
    </w:p>
    <w:p>
      <w:pPr>
        <w:pStyle w:val="2"/>
        <w:ind w:firstLine="562" w:firstLineChars="200"/>
      </w:pPr>
      <w:bookmarkStart w:id="139" w:name="_Toc406438898"/>
      <w:bookmarkStart w:id="140" w:name="_Toc408749988"/>
      <w:bookmarkStart w:id="141" w:name="_Toc27487"/>
      <w:bookmarkStart w:id="142" w:name="_Toc4776"/>
      <w:bookmarkStart w:id="143" w:name="_Toc25245"/>
      <w:bookmarkStart w:id="144" w:name="_Toc452017009"/>
      <w:bookmarkStart w:id="145" w:name="_Toc23947144"/>
      <w:r>
        <w:rPr>
          <w:rFonts w:hint="eastAsia" w:eastAsia="宋体"/>
        </w:rPr>
        <w:t>六、客戶檔案資料管理</w:t>
      </w:r>
      <w:bookmarkEnd w:id="139"/>
      <w:bookmarkEnd w:id="140"/>
      <w:bookmarkEnd w:id="141"/>
      <w:bookmarkEnd w:id="142"/>
      <w:bookmarkEnd w:id="143"/>
      <w:bookmarkEnd w:id="144"/>
      <w:bookmarkEnd w:id="145"/>
    </w:p>
    <w:p>
      <w:pPr>
        <w:ind w:firstLine="560" w:firstLineChars="200"/>
        <w:rPr>
          <w:rFonts w:ascii="仿宋_GB2312" w:hAnsi="宋体" w:eastAsia="仿宋_GB2312"/>
          <w:sz w:val="28"/>
          <w:szCs w:val="28"/>
        </w:rPr>
      </w:pPr>
      <w:r>
        <w:rPr>
          <w:rFonts w:hint="eastAsia" w:ascii="仿宋_GB2312" w:hAnsi="宋体" w:eastAsia="宋体"/>
          <w:sz w:val="28"/>
          <w:szCs w:val="28"/>
        </w:rPr>
        <w:t>證券公司應根據相關規定要求對客戶的股票期權檔案資料進行有效管理，明確總部及分支機構的檔案管理工作職責，滿足安全、嚴格保密、合理存放的管理要求。</w:t>
      </w:r>
    </w:p>
    <w:p>
      <w:pPr>
        <w:ind w:firstLine="560" w:firstLineChars="200"/>
        <w:rPr>
          <w:rFonts w:ascii="仿宋_GB2312" w:hAnsi="宋体" w:eastAsia="仿宋_GB2312"/>
          <w:sz w:val="28"/>
          <w:szCs w:val="28"/>
        </w:rPr>
      </w:pPr>
      <w:r>
        <w:rPr>
          <w:rFonts w:hint="eastAsia" w:ascii="仿宋_GB2312" w:hAnsi="宋体" w:eastAsia="宋体"/>
          <w:sz w:val="28"/>
          <w:szCs w:val="28"/>
        </w:rPr>
        <w:t>期權客戶檔案資料包括但不限於客戶申請開通股票期權業務時提交的相關資料、客戶與證券公司簽訂的合同文本等相關材料、客戶開立衍生品合約帳戶時所生成的各類檔資料等。所有相關資料妥善保管20年。</w:t>
      </w:r>
    </w:p>
    <w:p>
      <w:pPr>
        <w:pStyle w:val="2"/>
        <w:ind w:firstLine="562" w:firstLineChars="200"/>
      </w:pPr>
      <w:bookmarkStart w:id="146" w:name="_Toc406438899"/>
      <w:bookmarkStart w:id="147" w:name="_Toc408749989"/>
      <w:bookmarkStart w:id="148" w:name="_Toc10562"/>
      <w:bookmarkStart w:id="149" w:name="_Toc30877"/>
      <w:bookmarkStart w:id="150" w:name="_Toc24362"/>
      <w:bookmarkStart w:id="151" w:name="_Toc452017010"/>
      <w:bookmarkStart w:id="152" w:name="_Toc23947145"/>
      <w:r>
        <w:rPr>
          <w:rFonts w:hint="eastAsia" w:eastAsia="宋体"/>
        </w:rPr>
        <w:t>七、本所持續監督管理</w:t>
      </w:r>
      <w:bookmarkEnd w:id="146"/>
      <w:bookmarkEnd w:id="147"/>
      <w:bookmarkEnd w:id="148"/>
      <w:bookmarkEnd w:id="149"/>
      <w:bookmarkEnd w:id="150"/>
      <w:bookmarkEnd w:id="151"/>
      <w:bookmarkEnd w:id="152"/>
    </w:p>
    <w:p>
      <w:pPr>
        <w:ind w:firstLine="560" w:firstLineChars="200"/>
        <w:rPr>
          <w:rFonts w:ascii="仿宋_GB2312" w:eastAsia="仿宋_GB2312"/>
          <w:color w:val="000000"/>
          <w:sz w:val="28"/>
          <w:szCs w:val="28"/>
        </w:rPr>
      </w:pPr>
      <w:r>
        <w:rPr>
          <w:rFonts w:hint="eastAsia" w:ascii="仿宋_GB2312" w:eastAsia="宋体"/>
          <w:color w:val="000000"/>
          <w:sz w:val="28"/>
          <w:szCs w:val="28"/>
        </w:rPr>
        <w:t>本所將對證券公司的投資者適當性評估及分級管理進行持續監督管理，並從越級評估（為投資者評定的級別高於其知識測試級別或模擬交易經歷對應級別）、越級交易、資訊報備、動態更新、檔案管理等多個方面，定期或不定期對證券公司的適當性評估及分級管理進行檢查。如發現存在違反投資者適當性管理有關規定的，將根據相關規定進行處理。</w:t>
      </w:r>
    </w:p>
    <w:p>
      <w:pPr>
        <w:rPr>
          <w:rFonts w:ascii="仿宋_GB2312" w:eastAsia="仿宋_GB2312"/>
          <w:sz w:val="28"/>
          <w:szCs w:val="28"/>
        </w:rPr>
      </w:pPr>
    </w:p>
    <w:p>
      <w:pPr>
        <w:pStyle w:val="2"/>
        <w:spacing w:line="240" w:lineRule="auto"/>
        <w:jc w:val="center"/>
        <w:rPr>
          <w:rFonts w:ascii="黑体" w:hAnsi="黑体" w:eastAsia="黑体"/>
          <w:kern w:val="2"/>
          <w:sz w:val="32"/>
          <w:szCs w:val="32"/>
        </w:rPr>
      </w:pPr>
      <w:bookmarkStart w:id="153" w:name="_Toc403729901"/>
      <w:bookmarkStart w:id="154" w:name="_Toc406436501"/>
      <w:bookmarkStart w:id="155" w:name="_Toc406438900"/>
      <w:bookmarkStart w:id="156" w:name="_Toc406438950"/>
      <w:bookmarkStart w:id="157" w:name="_Toc406439135"/>
      <w:bookmarkStart w:id="158" w:name="_Toc408749990"/>
      <w:bookmarkStart w:id="159" w:name="_Toc17396"/>
      <w:bookmarkStart w:id="160" w:name="_Toc15426"/>
      <w:bookmarkStart w:id="161" w:name="_Toc12341"/>
      <w:bookmarkStart w:id="162" w:name="_Toc452017011"/>
      <w:bookmarkStart w:id="163" w:name="_Toc23947146"/>
      <w:r>
        <w:rPr>
          <w:rFonts w:hint="eastAsia" w:ascii="黑体" w:hAnsi="黑体" w:eastAsia="宋体"/>
          <w:kern w:val="2"/>
          <w:sz w:val="32"/>
          <w:szCs w:val="32"/>
        </w:rPr>
        <w:t>第四章 開戶管理</w:t>
      </w:r>
      <w:bookmarkEnd w:id="153"/>
      <w:bookmarkEnd w:id="154"/>
      <w:bookmarkEnd w:id="155"/>
      <w:bookmarkEnd w:id="156"/>
      <w:bookmarkEnd w:id="157"/>
      <w:bookmarkEnd w:id="158"/>
      <w:bookmarkEnd w:id="159"/>
      <w:bookmarkEnd w:id="160"/>
      <w:bookmarkEnd w:id="161"/>
      <w:bookmarkEnd w:id="162"/>
      <w:bookmarkEnd w:id="163"/>
    </w:p>
    <w:p>
      <w:pPr>
        <w:pStyle w:val="2"/>
        <w:ind w:firstLine="562" w:firstLineChars="200"/>
      </w:pPr>
      <w:bookmarkStart w:id="164" w:name="_Toc406438901"/>
      <w:bookmarkStart w:id="165" w:name="_Toc408749991"/>
      <w:bookmarkStart w:id="166" w:name="_Toc5565"/>
      <w:bookmarkStart w:id="167" w:name="_Toc22452"/>
      <w:bookmarkStart w:id="168" w:name="_Toc1139"/>
      <w:bookmarkStart w:id="169" w:name="_Toc452017012"/>
      <w:bookmarkStart w:id="170" w:name="_Toc23947147"/>
      <w:r>
        <w:rPr>
          <w:rFonts w:hint="eastAsia" w:eastAsia="宋体"/>
        </w:rPr>
        <w:t>一、帳戶體系</w:t>
      </w:r>
      <w:bookmarkEnd w:id="164"/>
      <w:bookmarkEnd w:id="165"/>
      <w:bookmarkEnd w:id="166"/>
      <w:bookmarkEnd w:id="167"/>
      <w:bookmarkEnd w:id="168"/>
      <w:bookmarkEnd w:id="169"/>
      <w:bookmarkEnd w:id="170"/>
    </w:p>
    <w:p>
      <w:pPr>
        <w:ind w:firstLine="562" w:firstLineChars="200"/>
        <w:rPr>
          <w:rFonts w:ascii="仿宋_GB2312" w:eastAsia="仿宋_GB2312"/>
          <w:b/>
          <w:sz w:val="28"/>
          <w:szCs w:val="28"/>
        </w:rPr>
      </w:pPr>
      <w:bookmarkStart w:id="171" w:name="_Toc406438902"/>
      <w:r>
        <w:rPr>
          <w:rFonts w:hint="eastAsia" w:ascii="仿宋_GB2312" w:eastAsia="宋体"/>
          <w:b/>
          <w:sz w:val="28"/>
          <w:szCs w:val="28"/>
        </w:rPr>
        <w:t>（一）客戶需要開立的股票期權交易相關帳戶</w:t>
      </w:r>
      <w:bookmarkEnd w:id="171"/>
    </w:p>
    <w:p>
      <w:pPr>
        <w:ind w:firstLine="560" w:firstLineChars="200"/>
        <w:rPr>
          <w:rFonts w:ascii="仿宋_GB2312" w:eastAsia="仿宋_GB2312"/>
          <w:color w:val="000000"/>
          <w:sz w:val="28"/>
          <w:szCs w:val="28"/>
        </w:rPr>
      </w:pPr>
      <w:r>
        <w:rPr>
          <w:rFonts w:hint="eastAsia" w:ascii="仿宋_GB2312" w:eastAsia="宋体"/>
          <w:color w:val="000000"/>
          <w:sz w:val="28"/>
          <w:szCs w:val="28"/>
        </w:rPr>
        <w:t>1、衍生品合約帳戶。投資者向證券公司申請開立衍生品合約帳戶，證券公司向中國結算上海分公司報送帳戶註冊資料等資訊，並申請配發編號。中國結算根據證券公司提交的配號申請，按照證券帳戶號碼加三位固定數字“888”的配號規則發放合約帳戶號碼。</w:t>
      </w:r>
    </w:p>
    <w:p>
      <w:pPr>
        <w:ind w:firstLine="560" w:firstLineChars="200"/>
        <w:rPr>
          <w:rFonts w:ascii="仿宋_GB2312" w:eastAsia="仿宋_GB2312"/>
          <w:color w:val="000000"/>
          <w:sz w:val="28"/>
          <w:szCs w:val="28"/>
        </w:rPr>
      </w:pPr>
      <w:r>
        <w:rPr>
          <w:rFonts w:hint="eastAsia" w:ascii="仿宋_GB2312" w:eastAsia="宋体"/>
          <w:color w:val="000000"/>
          <w:sz w:val="28"/>
          <w:szCs w:val="28"/>
        </w:rPr>
        <w:t>衍生品合約帳戶與投資者在證券公司開立的證券帳戶一一對應，用於客戶期權交易、行權申報和記錄期權合約持倉資訊。</w:t>
      </w:r>
    </w:p>
    <w:p>
      <w:pPr>
        <w:ind w:firstLine="560" w:firstLineChars="200"/>
        <w:rPr>
          <w:rFonts w:ascii="仿宋_GB2312" w:eastAsia="仿宋_GB2312"/>
          <w:color w:val="000000"/>
          <w:sz w:val="28"/>
          <w:szCs w:val="28"/>
        </w:rPr>
      </w:pPr>
      <w:r>
        <w:rPr>
          <w:rFonts w:hint="eastAsia" w:ascii="仿宋_GB2312" w:eastAsia="宋体"/>
          <w:color w:val="000000"/>
          <w:sz w:val="28"/>
          <w:szCs w:val="28"/>
        </w:rPr>
        <w:t>2、股票期權保證金帳戶。股票期權保證金帳戶用於權利金和行權資金的交收及股票期權保證金的存放。</w:t>
      </w:r>
    </w:p>
    <w:p>
      <w:pPr>
        <w:ind w:firstLine="560" w:firstLineChars="200"/>
        <w:rPr>
          <w:rFonts w:ascii="仿宋_GB2312" w:eastAsia="仿宋_GB2312"/>
          <w:color w:val="000000"/>
          <w:sz w:val="28"/>
          <w:szCs w:val="28"/>
        </w:rPr>
      </w:pPr>
      <w:r>
        <w:rPr>
          <w:rFonts w:hint="eastAsia" w:ascii="仿宋_GB2312" w:eastAsia="宋体"/>
          <w:color w:val="000000"/>
          <w:sz w:val="28"/>
          <w:szCs w:val="28"/>
        </w:rPr>
        <w:t>3、銀行結算帳戶。銀行結算帳戶用於與股票期權保證金帳戶之間進行資金劃轉。</w:t>
      </w:r>
    </w:p>
    <w:p>
      <w:pPr>
        <w:ind w:firstLine="562" w:firstLineChars="200"/>
        <w:rPr>
          <w:rFonts w:ascii="仿宋_GB2312" w:eastAsia="仿宋_GB2312"/>
          <w:b/>
          <w:sz w:val="28"/>
          <w:szCs w:val="28"/>
        </w:rPr>
      </w:pPr>
      <w:bookmarkStart w:id="172" w:name="_Toc406438903"/>
      <w:r>
        <w:rPr>
          <w:rFonts w:hint="eastAsia" w:ascii="仿宋_GB2312" w:eastAsia="宋体"/>
          <w:b/>
          <w:sz w:val="28"/>
          <w:szCs w:val="28"/>
        </w:rPr>
        <w:t>（二）證券公司需要開立的帳戶</w:t>
      </w:r>
      <w:bookmarkEnd w:id="172"/>
    </w:p>
    <w:p>
      <w:pPr>
        <w:ind w:firstLine="560" w:firstLineChars="200"/>
        <w:rPr>
          <w:rFonts w:ascii="仿宋_GB2312" w:eastAsia="仿宋_GB2312"/>
          <w:color w:val="000000"/>
          <w:sz w:val="28"/>
          <w:szCs w:val="28"/>
        </w:rPr>
      </w:pPr>
      <w:r>
        <w:rPr>
          <w:rFonts w:hint="eastAsia" w:ascii="仿宋_GB2312" w:eastAsia="宋体"/>
          <w:color w:val="000000"/>
          <w:sz w:val="28"/>
          <w:szCs w:val="28"/>
        </w:rPr>
        <w:t>1、客戶股票期權保證金帳戶。證券公司在中國結算上海分公司開立客戶股票期權保證金帳戶，用於客戶股票期權業務的資金交收。</w:t>
      </w:r>
    </w:p>
    <w:p>
      <w:pPr>
        <w:ind w:firstLine="560" w:firstLineChars="200"/>
        <w:rPr>
          <w:rFonts w:ascii="仿宋_GB2312" w:eastAsia="仿宋_GB2312"/>
          <w:color w:val="000000"/>
          <w:sz w:val="28"/>
          <w:szCs w:val="28"/>
        </w:rPr>
      </w:pPr>
      <w:r>
        <w:rPr>
          <w:rFonts w:hint="eastAsia" w:ascii="仿宋_GB2312" w:eastAsia="宋体"/>
          <w:color w:val="000000"/>
          <w:sz w:val="28"/>
          <w:szCs w:val="28"/>
        </w:rPr>
        <w:t>2、客戶衍生品結算資金匯總帳戶。證券公司在結算銀行開立客戶衍生品結算資金匯總帳戶。</w:t>
      </w:r>
    </w:p>
    <w:p>
      <w:pPr>
        <w:ind w:firstLine="560" w:firstLineChars="200"/>
        <w:rPr>
          <w:rFonts w:ascii="仿宋_GB2312" w:eastAsia="仿宋_GB2312"/>
          <w:color w:val="000000"/>
          <w:sz w:val="28"/>
          <w:szCs w:val="28"/>
        </w:rPr>
      </w:pPr>
      <w:r>
        <w:rPr>
          <w:rFonts w:hint="eastAsia" w:ascii="仿宋_GB2312" w:eastAsia="宋体"/>
          <w:color w:val="000000"/>
          <w:sz w:val="28"/>
          <w:szCs w:val="28"/>
        </w:rPr>
        <w:t>3、證券處置帳戶。證券公司在中國結算申請開立證券處置帳戶。如客戶出現行權資金交收違約，證券公司可以通過交易系統發出指令，委託中國結算將客戶行權應得標的證券劃付到其證券處置帳戶內，並可根據相關規定或與客戶的約定對證券處置帳戶內的客戶行權標的證券予以處置。</w:t>
      </w:r>
    </w:p>
    <w:p>
      <w:pPr>
        <w:ind w:firstLine="560" w:firstLineChars="200"/>
        <w:rPr>
          <w:rFonts w:ascii="仿宋_GB2312" w:eastAsia="仿宋_GB2312"/>
          <w:color w:val="000000"/>
          <w:sz w:val="28"/>
          <w:szCs w:val="28"/>
        </w:rPr>
      </w:pPr>
    </w:p>
    <w:p>
      <w:pPr>
        <w:pStyle w:val="3"/>
        <w:ind w:firstLine="562"/>
        <w:rPr>
          <w:kern w:val="0"/>
        </w:rPr>
      </w:pPr>
      <w:bookmarkStart w:id="173" w:name="_Toc406438904"/>
      <w:bookmarkStart w:id="174" w:name="_Toc408749992"/>
      <w:bookmarkStart w:id="175" w:name="_Toc452017013"/>
      <w:bookmarkStart w:id="176" w:name="_Toc23947148"/>
      <w:r>
        <w:rPr>
          <w:rFonts w:hint="eastAsia" w:eastAsia="宋体"/>
          <w:kern w:val="0"/>
        </w:rPr>
        <w:t>二、衍生品合約帳戶的開立與管理</w:t>
      </w:r>
      <w:bookmarkEnd w:id="173"/>
      <w:bookmarkEnd w:id="174"/>
      <w:bookmarkEnd w:id="175"/>
      <w:bookmarkEnd w:id="176"/>
    </w:p>
    <w:p>
      <w:pPr>
        <w:ind w:firstLine="562" w:firstLineChars="200"/>
        <w:jc w:val="left"/>
        <w:rPr>
          <w:rFonts w:ascii="仿宋_GB2312" w:hAnsi="宋体" w:eastAsia="仿宋_GB2312"/>
          <w:b/>
          <w:bCs/>
          <w:color w:val="000000"/>
          <w:kern w:val="0"/>
          <w:sz w:val="28"/>
          <w:szCs w:val="28"/>
        </w:rPr>
      </w:pPr>
      <w:r>
        <w:rPr>
          <w:rFonts w:hint="eastAsia" w:ascii="仿宋_GB2312" w:hAnsi="宋体" w:eastAsia="宋体"/>
          <w:b/>
          <w:bCs/>
          <w:color w:val="000000"/>
          <w:kern w:val="0"/>
          <w:sz w:val="28"/>
          <w:szCs w:val="28"/>
        </w:rPr>
        <w:t>（一）個人投資者股票期權開戶</w:t>
      </w:r>
    </w:p>
    <w:p>
      <w:pPr>
        <w:ind w:firstLine="562" w:firstLineChars="200"/>
        <w:jc w:val="left"/>
        <w:rPr>
          <w:rFonts w:ascii="仿宋_GB2312" w:hAnsi="宋体" w:eastAsia="仿宋_GB2312"/>
          <w:b/>
          <w:color w:val="000000"/>
          <w:kern w:val="0"/>
          <w:sz w:val="28"/>
          <w:szCs w:val="28"/>
        </w:rPr>
      </w:pPr>
      <w:r>
        <w:rPr>
          <w:rFonts w:hint="eastAsia" w:ascii="仿宋_GB2312" w:hAnsi="宋体" w:eastAsia="宋体"/>
          <w:b/>
          <w:color w:val="000000"/>
          <w:kern w:val="0"/>
          <w:sz w:val="28"/>
          <w:szCs w:val="28"/>
        </w:rPr>
        <w:t>1、 投資者開戶需要準備的資料</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1.1 身份證</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1.2 融資融券業務帳戶證明（已開立融資融券帳戶投資者）或期貨公司出具的金融期貨交易結算單</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1.3 證券公司要求的其他材料</w:t>
      </w:r>
    </w:p>
    <w:p>
      <w:pPr>
        <w:spacing w:line="360" w:lineRule="auto"/>
        <w:ind w:firstLine="480" w:firstLineChars="200"/>
        <w:rPr>
          <w:rFonts w:ascii="仿宋_GB2312" w:hAnsi="仿宋" w:eastAsia="仿宋_GB2312" w:cs="宋体"/>
          <w:color w:val="000000"/>
          <w:kern w:val="0"/>
          <w:sz w:val="24"/>
          <w:szCs w:val="24"/>
        </w:rPr>
      </w:pPr>
    </w:p>
    <w:p>
      <w:pPr>
        <w:ind w:firstLine="562" w:firstLineChars="200"/>
        <w:jc w:val="left"/>
        <w:rPr>
          <w:rFonts w:ascii="仿宋_GB2312" w:hAnsi="宋体" w:eastAsia="仿宋_GB2312"/>
          <w:b/>
          <w:color w:val="000000"/>
          <w:kern w:val="0"/>
          <w:sz w:val="28"/>
          <w:szCs w:val="28"/>
        </w:rPr>
      </w:pPr>
      <w:r>
        <w:rPr>
          <w:rFonts w:hint="eastAsia" w:ascii="仿宋_GB2312" w:hAnsi="宋体" w:eastAsia="宋体"/>
          <w:b/>
          <w:color w:val="000000"/>
          <w:kern w:val="0"/>
          <w:sz w:val="28"/>
          <w:szCs w:val="28"/>
        </w:rPr>
        <w:t>2、營業部資格初審</w:t>
      </w:r>
    </w:p>
    <w:p>
      <w:pPr>
        <w:ind w:firstLine="562" w:firstLineChars="200"/>
        <w:jc w:val="left"/>
        <w:rPr>
          <w:rFonts w:ascii="仿宋_GB2312" w:hAnsi="宋体" w:eastAsia="仿宋_GB2312"/>
          <w:b/>
          <w:color w:val="000000"/>
          <w:kern w:val="0"/>
          <w:sz w:val="28"/>
          <w:szCs w:val="28"/>
        </w:rPr>
      </w:pPr>
      <w:r>
        <w:rPr>
          <w:rFonts w:hint="eastAsia" w:ascii="仿宋_GB2312" w:hAnsi="宋体" w:eastAsia="宋体"/>
          <w:b/>
          <w:color w:val="000000"/>
          <w:kern w:val="0"/>
          <w:sz w:val="28"/>
          <w:szCs w:val="28"/>
        </w:rPr>
        <w:t>營業部根據本指南第三章投資者適當性管理的認定標準進行資格初審。</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2.1核對投資者身份證明文件：必須投資者本人持有效證件臨櫃開戶。</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2.2核對上海證券交易所Ａ股證券帳戶：</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(1)若在本公司已有A股帳戶，核對通過；</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(2)若無本公司A股帳戶，需首先開立A股帳戶。</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2.3核對託管資產。</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2.4核對交易經歷。</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2.5核對期權模擬交易經歷。</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2.6核對知識測試成績。</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2.7評估客戶風險承受能力。</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2.8核實投資者誠信記錄。</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2.9完成適當性綜合評估表。</w:t>
      </w:r>
    </w:p>
    <w:p>
      <w:pPr>
        <w:ind w:firstLine="560" w:firstLineChars="200"/>
        <w:jc w:val="left"/>
        <w:rPr>
          <w:rFonts w:ascii="仿宋_GB2312" w:hAnsi="宋体" w:eastAsia="仿宋_GB2312"/>
          <w:color w:val="000000"/>
          <w:kern w:val="0"/>
          <w:sz w:val="28"/>
          <w:szCs w:val="28"/>
        </w:rPr>
      </w:pPr>
    </w:p>
    <w:p>
      <w:pPr>
        <w:ind w:firstLine="562" w:firstLineChars="200"/>
        <w:jc w:val="left"/>
        <w:rPr>
          <w:rFonts w:ascii="仿宋_GB2312" w:hAnsi="宋体" w:eastAsia="仿宋_GB2312"/>
          <w:b/>
          <w:bCs/>
          <w:color w:val="000000"/>
          <w:kern w:val="0"/>
          <w:sz w:val="28"/>
          <w:szCs w:val="28"/>
        </w:rPr>
      </w:pPr>
      <w:r>
        <w:rPr>
          <w:rFonts w:hint="eastAsia" w:ascii="仿宋_GB2312" w:hAnsi="宋体" w:eastAsia="宋体"/>
          <w:b/>
          <w:bCs/>
          <w:color w:val="000000"/>
          <w:kern w:val="0"/>
          <w:sz w:val="28"/>
          <w:szCs w:val="28"/>
        </w:rPr>
        <w:t xml:space="preserve">3、開戶程式 </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3.1向客戶解釋風險揭示書及經紀合同的核心內容</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為提高效率，證券公司可在投資者臨櫃前將經紀合同、風險揭示書等相關開戶資料提前發給投資者閱知，或提醒投資者認真閱讀上述檔。各證券公司應在符合相關指引和通知要求的前提下，儘量縮短客戶臨櫃開戶時間，提高開戶效率，提升客戶體驗。</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3.2投資者簽署風險揭示書。</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投資者按風險揭示書要求抄寫或朗讀承諾並簽名，證券公司對投資者抄寫或朗讀承諾文字的過程進行拍照或錄影存檔。</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3.3</w:t>
      </w:r>
      <w:r>
        <w:rPr>
          <w:rFonts w:hint="eastAsia" w:ascii="仿宋_GB2312" w:hAnsi="宋体" w:eastAsia="宋体"/>
          <w:kern w:val="0"/>
          <w:sz w:val="28"/>
          <w:szCs w:val="28"/>
        </w:rPr>
        <w:t>投資者簽署經紀合同。投資</w:t>
      </w:r>
      <w:r>
        <w:rPr>
          <w:rFonts w:hint="eastAsia" w:ascii="仿宋_GB2312" w:hAnsi="宋体" w:eastAsia="宋体"/>
          <w:color w:val="000000"/>
          <w:kern w:val="0"/>
          <w:sz w:val="28"/>
          <w:szCs w:val="28"/>
        </w:rPr>
        <w:t>者可以在通過相應等級知識測試並申請相應等級交易許可權的同時，當場簽署開戶申請表、風險揭示書、經紀合同等開戶必備檔，一次臨櫃完成開戶相關檔的填寫和簽署。證券公司在完成後續審核之前，應當充分告知投資者開戶相關檔需經證券公司完成後續審核後方可生效。</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3.4為投資者辦理所有開戶手續（包括密碼設置等)，但在總部完成審核前，帳戶暫不生效。</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3.5證券公司總部進行審核</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投資者適當性評估及交易許可權分級等事宜經證券公司總部期權經紀業務相關部門負責人或其授權人核准後，營業部可為投資者啟動衍生品合約帳戶和股票期權保證金帳戶；未通過相關審核的，證券公司不得對開戶相關檔進行簽署，投資者此前簽署的檔即予作廢處理。</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3.6開戶結果回饋，通知客戶辦理銀衍簽約</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證券公司應當及時將審核及開戶結果告知投資者，通知通過審核的投資者辦理銀衍簽約。</w:t>
      </w:r>
    </w:p>
    <w:p>
      <w:pPr>
        <w:spacing w:beforeLines="50" w:afterLines="50"/>
        <w:ind w:firstLine="56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 xml:space="preserve">  </w:t>
      </w:r>
      <w:r>
        <w:rPr>
          <w:rFonts w:hint="eastAsia" w:ascii="仿宋_GB2312" w:hAnsi="宋体" w:eastAsia="宋体"/>
          <w:b/>
          <w:bCs/>
          <w:color w:val="000000"/>
          <w:kern w:val="0"/>
          <w:sz w:val="28"/>
          <w:szCs w:val="28"/>
        </w:rPr>
        <w:t>（二）機構投資者股票期權開戶</w:t>
      </w:r>
    </w:p>
    <w:p>
      <w:pPr>
        <w:ind w:firstLine="562" w:firstLineChars="200"/>
        <w:rPr>
          <w:rFonts w:ascii="仿宋_GB2312" w:hAnsi="宋体" w:eastAsia="仿宋_GB2312"/>
          <w:b/>
          <w:bCs/>
          <w:color w:val="000000"/>
          <w:kern w:val="0"/>
          <w:sz w:val="28"/>
          <w:szCs w:val="28"/>
        </w:rPr>
      </w:pPr>
      <w:r>
        <w:rPr>
          <w:rFonts w:hint="eastAsia" w:ascii="仿宋_GB2312" w:hAnsi="宋体" w:eastAsia="宋体"/>
          <w:b/>
          <w:bCs/>
          <w:color w:val="000000"/>
          <w:kern w:val="0"/>
          <w:sz w:val="28"/>
          <w:szCs w:val="28"/>
        </w:rPr>
        <w:t xml:space="preserve"> 1、開戶準備材料</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1.1法人證明證件：組織機構代碼證、工商營業執照、稅務登記證。</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1.2證券公司所需的機構投資者經辦人身份證明和業務授權等材料。</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1.3對於普通機構投資者，還需提供上一季末淨資產相關證明，或最近淨資產證明。</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1.4根據相關監管機構要求需要進行備案的專業機構投資者，還需提供在相關監管機構的成立備案檔。</w:t>
      </w:r>
    </w:p>
    <w:p>
      <w:pPr>
        <w:ind w:firstLine="560" w:firstLineChars="200"/>
        <w:rPr>
          <w:rFonts w:ascii="仿宋_GB2312" w:hAnsi="宋体" w:eastAsia="仿宋_GB2312"/>
          <w:color w:val="000000"/>
          <w:kern w:val="0"/>
          <w:sz w:val="28"/>
          <w:szCs w:val="28"/>
        </w:rPr>
      </w:pPr>
    </w:p>
    <w:p>
      <w:pPr>
        <w:ind w:firstLine="562" w:firstLineChars="200"/>
        <w:rPr>
          <w:rFonts w:ascii="仿宋_GB2312" w:hAnsi="宋体" w:eastAsia="仿宋_GB2312"/>
          <w:b/>
          <w:bCs/>
          <w:color w:val="000000"/>
          <w:kern w:val="0"/>
          <w:sz w:val="28"/>
          <w:szCs w:val="28"/>
        </w:rPr>
      </w:pPr>
      <w:r>
        <w:rPr>
          <w:rFonts w:hint="eastAsia" w:ascii="仿宋_GB2312" w:hAnsi="宋体" w:eastAsia="宋体"/>
          <w:b/>
          <w:bCs/>
          <w:color w:val="000000"/>
          <w:kern w:val="0"/>
          <w:sz w:val="28"/>
          <w:szCs w:val="28"/>
        </w:rPr>
        <w:t>2、普通機構投資者資格初審</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2.1核對機構法人證明檔：原件與影本一致性、年檢有效期等資訊。</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2.2核對機構投資者經辦人身份資訊和業務授權等材料。</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2.3核對上海證券交易所Ａ股證券帳戶：</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(1)若在本公司已有A股帳戶，核對通過；</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(2)若無本公司A股帳戶，需首先開立A股帳戶。</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2.4核對託管資產。</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2.5核對相關業務人員的模擬交易經歷。</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2.6核對相關業務人員的知識測試成績。</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2.7審核其他相關資訊。</w:t>
      </w:r>
    </w:p>
    <w:p>
      <w:pPr>
        <w:ind w:firstLine="560" w:firstLineChars="200"/>
        <w:rPr>
          <w:rFonts w:ascii="仿宋_GB2312" w:hAnsi="宋体" w:eastAsia="仿宋_GB2312"/>
          <w:color w:val="000000"/>
          <w:kern w:val="0"/>
          <w:sz w:val="28"/>
          <w:szCs w:val="28"/>
        </w:rPr>
      </w:pPr>
    </w:p>
    <w:p>
      <w:pPr>
        <w:ind w:firstLine="562" w:firstLineChars="200"/>
        <w:rPr>
          <w:rFonts w:ascii="仿宋_GB2312" w:hAnsi="宋体" w:eastAsia="仿宋_GB2312"/>
          <w:b/>
          <w:bCs/>
          <w:color w:val="000000"/>
          <w:kern w:val="0"/>
          <w:sz w:val="28"/>
          <w:szCs w:val="28"/>
        </w:rPr>
      </w:pPr>
      <w:r>
        <w:rPr>
          <w:rFonts w:hint="eastAsia" w:ascii="仿宋_GB2312" w:hAnsi="宋体" w:eastAsia="宋体"/>
          <w:b/>
          <w:bCs/>
          <w:color w:val="000000"/>
          <w:kern w:val="0"/>
          <w:sz w:val="28"/>
          <w:szCs w:val="28"/>
        </w:rPr>
        <w:t>3、專業機構投資者資格初審</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3.1核對相關監管機構出具的成立備案檔。</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3.2核對機構法人證明檔：原件與影本一致性、年檢有效期等資訊。</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3.3核對機構投資者經辦人身份資訊和業務授權等材料。</w:t>
      </w:r>
    </w:p>
    <w:p>
      <w:pPr>
        <w:ind w:firstLine="560" w:firstLineChars="200"/>
        <w:rPr>
          <w:rFonts w:ascii="仿宋_GB2312" w:hAnsi="宋体" w:eastAsia="仿宋_GB2312"/>
          <w:kern w:val="0"/>
          <w:sz w:val="28"/>
          <w:szCs w:val="28"/>
        </w:rPr>
      </w:pPr>
      <w:r>
        <w:rPr>
          <w:rFonts w:hint="eastAsia" w:ascii="仿宋_GB2312" w:hAnsi="宋体" w:eastAsia="宋体"/>
          <w:kern w:val="0"/>
          <w:sz w:val="28"/>
          <w:szCs w:val="28"/>
        </w:rPr>
        <w:t>3.4核對上海證券交易所Ａ股證券帳戶：</w:t>
      </w:r>
    </w:p>
    <w:p>
      <w:pPr>
        <w:ind w:firstLine="560" w:firstLineChars="200"/>
        <w:rPr>
          <w:rFonts w:ascii="仿宋_GB2312" w:hAnsi="宋体" w:eastAsia="仿宋_GB2312" w:cs="仿宋_GB2312"/>
          <w:bCs/>
          <w:color w:val="000000"/>
          <w:kern w:val="0"/>
          <w:sz w:val="28"/>
          <w:szCs w:val="28"/>
        </w:rPr>
      </w:pPr>
      <w:r>
        <w:rPr>
          <w:rFonts w:ascii="仿宋_GB2312" w:hAnsi="宋体" w:eastAsia="宋体" w:cs="仿宋_GB2312"/>
          <w:bCs/>
          <w:kern w:val="0"/>
          <w:sz w:val="28"/>
          <w:szCs w:val="28"/>
        </w:rPr>
        <w:t>採用託管人結算模式</w:t>
      </w:r>
      <w:r>
        <w:rPr>
          <w:rFonts w:hint="eastAsia" w:ascii="仿宋_GB2312" w:hAnsi="宋体" w:eastAsia="宋体" w:cs="仿宋_GB2312"/>
          <w:bCs/>
          <w:kern w:val="0"/>
          <w:sz w:val="28"/>
          <w:szCs w:val="28"/>
        </w:rPr>
        <w:t>的機構和</w:t>
      </w:r>
      <w:r>
        <w:rPr>
          <w:rFonts w:ascii="仿宋_GB2312" w:hAnsi="宋体" w:eastAsia="宋体" w:cs="仿宋_GB2312"/>
          <w:bCs/>
          <w:kern w:val="0"/>
          <w:sz w:val="28"/>
          <w:szCs w:val="28"/>
        </w:rPr>
        <w:t>產品，</w:t>
      </w:r>
      <w:r>
        <w:rPr>
          <w:rFonts w:hint="eastAsia" w:ascii="仿宋_GB2312" w:hAnsi="宋体" w:eastAsia="宋体" w:cs="仿宋_GB2312"/>
          <w:bCs/>
          <w:kern w:val="0"/>
          <w:sz w:val="28"/>
          <w:szCs w:val="28"/>
        </w:rPr>
        <w:t>如需參加期權交易，</w:t>
      </w:r>
      <w:r>
        <w:rPr>
          <w:rFonts w:ascii="仿宋_GB2312" w:hAnsi="宋体" w:eastAsia="宋体" w:cs="仿宋_GB2312"/>
          <w:bCs/>
          <w:kern w:val="0"/>
          <w:sz w:val="28"/>
          <w:szCs w:val="28"/>
        </w:rPr>
        <w:t>應當按照現有證券帳戶開立方式向中國結算申請</w:t>
      </w:r>
      <w:r>
        <w:rPr>
          <w:rFonts w:ascii="仿宋_GB2312" w:hAnsi="宋体" w:eastAsia="宋体" w:cs="仿宋_GB2312"/>
          <w:bCs/>
          <w:color w:val="000000"/>
          <w:kern w:val="0"/>
          <w:sz w:val="28"/>
          <w:szCs w:val="28"/>
        </w:rPr>
        <w:t>新開立一個普通證券帳戶，並將該證券帳戶指定交易在</w:t>
      </w:r>
      <w:r>
        <w:rPr>
          <w:rFonts w:hint="eastAsia" w:ascii="仿宋_GB2312" w:hAnsi="宋体" w:eastAsia="宋体" w:cs="仿宋_GB2312"/>
          <w:bCs/>
          <w:color w:val="000000"/>
          <w:kern w:val="0"/>
          <w:sz w:val="28"/>
          <w:szCs w:val="28"/>
        </w:rPr>
        <w:t>開戶證券</w:t>
      </w:r>
      <w:r>
        <w:rPr>
          <w:rFonts w:ascii="仿宋_GB2312" w:hAnsi="宋体" w:eastAsia="宋体" w:cs="仿宋_GB2312"/>
          <w:bCs/>
          <w:color w:val="000000"/>
          <w:kern w:val="0"/>
          <w:sz w:val="28"/>
          <w:szCs w:val="28"/>
        </w:rPr>
        <w:t>公司，</w:t>
      </w:r>
      <w:r>
        <w:rPr>
          <w:rFonts w:hint="eastAsia" w:ascii="仿宋_GB2312" w:hAnsi="宋体" w:eastAsia="宋体" w:cs="仿宋_GB2312"/>
          <w:bCs/>
          <w:color w:val="000000"/>
          <w:kern w:val="0"/>
          <w:sz w:val="28"/>
          <w:szCs w:val="28"/>
        </w:rPr>
        <w:t>由證券公司為其進行</w:t>
      </w:r>
      <w:r>
        <w:rPr>
          <w:rFonts w:ascii="仿宋_GB2312" w:hAnsi="宋体" w:eastAsia="宋体" w:cs="仿宋_GB2312"/>
          <w:bCs/>
          <w:color w:val="000000"/>
          <w:kern w:val="0"/>
          <w:sz w:val="28"/>
          <w:szCs w:val="28"/>
        </w:rPr>
        <w:t>衍生品合約帳戶</w:t>
      </w:r>
      <w:r>
        <w:rPr>
          <w:rFonts w:hint="eastAsia" w:ascii="仿宋_GB2312" w:hAnsi="宋体" w:eastAsia="宋体" w:cs="仿宋_GB2312"/>
          <w:bCs/>
          <w:color w:val="000000"/>
          <w:kern w:val="0"/>
          <w:sz w:val="28"/>
          <w:szCs w:val="28"/>
        </w:rPr>
        <w:t>配號。</w:t>
      </w:r>
      <w:r>
        <w:rPr>
          <w:rFonts w:ascii="仿宋_GB2312" w:hAnsi="宋体" w:eastAsia="宋体" w:cs="仿宋_GB2312"/>
          <w:bCs/>
          <w:color w:val="000000"/>
          <w:kern w:val="0"/>
          <w:sz w:val="28"/>
          <w:szCs w:val="28"/>
        </w:rPr>
        <w:t>採用證券公司結算模式的產品，則無需開立</w:t>
      </w:r>
      <w:r>
        <w:rPr>
          <w:rFonts w:hint="eastAsia" w:ascii="仿宋_GB2312" w:hAnsi="宋体" w:eastAsia="宋体" w:cs="仿宋_GB2312"/>
          <w:bCs/>
          <w:color w:val="000000"/>
          <w:kern w:val="0"/>
          <w:sz w:val="28"/>
          <w:szCs w:val="28"/>
        </w:rPr>
        <w:t>新的</w:t>
      </w:r>
      <w:r>
        <w:rPr>
          <w:rFonts w:ascii="仿宋_GB2312" w:hAnsi="宋体" w:eastAsia="宋体" w:cs="仿宋_GB2312"/>
          <w:bCs/>
          <w:color w:val="000000"/>
          <w:kern w:val="0"/>
          <w:sz w:val="28"/>
          <w:szCs w:val="28"/>
        </w:rPr>
        <w:t>普通證券帳戶，由現有指定交易證券公司為其開立衍生品合約帳戶。</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(1)若在本公司已有A股帳戶，核對通過；</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(2)若無本公司A股帳戶，需首先開立A股帳戶。</w:t>
      </w:r>
    </w:p>
    <w:p>
      <w:pPr>
        <w:ind w:firstLine="562" w:firstLineChars="200"/>
        <w:rPr>
          <w:rFonts w:ascii="仿宋_GB2312" w:hAnsi="宋体" w:eastAsia="仿宋_GB2312"/>
          <w:b/>
          <w:bCs/>
          <w:color w:val="000000"/>
          <w:kern w:val="0"/>
          <w:sz w:val="28"/>
          <w:szCs w:val="28"/>
        </w:rPr>
      </w:pPr>
      <w:r>
        <w:rPr>
          <w:rFonts w:hint="eastAsia" w:ascii="仿宋_GB2312" w:hAnsi="宋体" w:eastAsia="宋体"/>
          <w:b/>
          <w:bCs/>
          <w:color w:val="000000"/>
          <w:kern w:val="0"/>
          <w:sz w:val="28"/>
          <w:szCs w:val="28"/>
        </w:rPr>
        <w:t>4、開戶程式</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4.1普通機構投資者簽署風險揭示書。開戶人按風險揭示書要求抄寫或朗讀承諾並簽名，證券公司對開戶人抄寫或朗讀承諾文字的過程進行拍照或錄影存檔。</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4.2機構投資者簽署經紀合同。</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4.3公司總部審核。</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4.4審核與開戶結果回饋，通知客戶辦理銀衍簽約。</w:t>
      </w:r>
    </w:p>
    <w:p>
      <w:pPr>
        <w:ind w:firstLine="560" w:firstLineChars="200"/>
        <w:rPr>
          <w:rFonts w:ascii="仿宋_GB2312" w:hAnsi="宋体" w:eastAsia="仿宋_GB2312"/>
          <w:color w:val="000000"/>
          <w:kern w:val="0"/>
          <w:sz w:val="28"/>
          <w:szCs w:val="28"/>
        </w:rPr>
      </w:pPr>
    </w:p>
    <w:p>
      <w:pPr>
        <w:ind w:firstLine="565" w:firstLineChars="201"/>
        <w:rPr>
          <w:rFonts w:ascii="仿宋_GB2312" w:eastAsia="仿宋_GB2312" w:cs="仿宋_GB2312"/>
          <w:b/>
          <w:bCs/>
          <w:sz w:val="28"/>
          <w:szCs w:val="28"/>
        </w:rPr>
      </w:pPr>
      <w:r>
        <w:rPr>
          <w:rFonts w:hint="eastAsia" w:ascii="仿宋_GB2312" w:eastAsia="宋体" w:cs="仿宋_GB2312"/>
          <w:b/>
          <w:bCs/>
          <w:sz w:val="28"/>
          <w:szCs w:val="28"/>
        </w:rPr>
        <w:t>（三）客戶開立多個衍生品帳戶</w:t>
      </w:r>
    </w:p>
    <w:p>
      <w:pPr>
        <w:adjustRightInd w:val="0"/>
        <w:snapToGrid w:val="0"/>
        <w:spacing w:line="600" w:lineRule="exact"/>
        <w:ind w:firstLine="560"/>
        <w:jc w:val="left"/>
        <w:rPr>
          <w:rFonts w:ascii="仿宋_GB2312" w:eastAsia="仿宋_GB2312" w:cs="仿宋_GB2312"/>
          <w:kern w:val="0"/>
          <w:sz w:val="28"/>
          <w:szCs w:val="28"/>
        </w:rPr>
      </w:pPr>
      <w:r>
        <w:rPr>
          <w:rFonts w:hint="eastAsia" w:ascii="仿宋_GB2312" w:eastAsia="宋体" w:cs="仿宋_GB2312"/>
          <w:sz w:val="28"/>
          <w:szCs w:val="28"/>
        </w:rPr>
        <w:t>符合股票期權投資者適當性管理相關要求的投資者（含個人投資者、機構投資者以及期權經營機構自營業務），可以同時開立最多五個合約帳戶進行股票期權交易。根據</w:t>
      </w:r>
      <w:r>
        <w:rPr>
          <w:rFonts w:hint="eastAsia" w:ascii="仿宋_GB2312" w:eastAsia="宋体" w:cs="仿宋_GB2312"/>
          <w:kern w:val="0"/>
          <w:sz w:val="28"/>
          <w:szCs w:val="28"/>
        </w:rPr>
        <w:t>衍生品合約帳戶與證券帳戶一一對應的原則，個人和機構投資者（不含自營）在一家期權經營機構只能開立一個合約帳戶，自營可以在本期權經營機構開立最多五個合約帳戶。</w:t>
      </w:r>
    </w:p>
    <w:p>
      <w:pPr>
        <w:adjustRightInd w:val="0"/>
        <w:snapToGrid w:val="0"/>
        <w:spacing w:line="600" w:lineRule="exact"/>
        <w:ind w:firstLine="560"/>
        <w:jc w:val="left"/>
        <w:rPr>
          <w:rFonts w:ascii="仿宋_GB2312" w:eastAsia="仿宋_GB2312" w:cs="仿宋_GB2312"/>
          <w:kern w:val="0"/>
          <w:sz w:val="28"/>
          <w:szCs w:val="28"/>
        </w:rPr>
      </w:pPr>
      <w:r>
        <w:rPr>
          <w:rFonts w:hint="eastAsia" w:ascii="仿宋_GB2312" w:eastAsia="宋体" w:cs="仿宋_GB2312"/>
          <w:kern w:val="0"/>
          <w:sz w:val="28"/>
          <w:szCs w:val="28"/>
        </w:rPr>
        <w:t>投資者開立非首個期權合約帳戶時，在提供已開立的首個合約帳戶相關憑證或交易記錄的情況下，證券公司只需執行以下投資者適當性評估要求，無需再對投資者的交易經歷、知識測試成績、期權模擬交易經歷進行核查：</w:t>
      </w:r>
    </w:p>
    <w:p>
      <w:pPr>
        <w:adjustRightInd w:val="0"/>
        <w:snapToGrid w:val="0"/>
        <w:spacing w:line="600" w:lineRule="exact"/>
        <w:ind w:firstLine="560"/>
        <w:jc w:val="left"/>
        <w:rPr>
          <w:rFonts w:ascii="仿宋_GB2312" w:eastAsia="仿宋_GB2312" w:cs="仿宋_GB2312"/>
          <w:kern w:val="0"/>
          <w:sz w:val="28"/>
          <w:szCs w:val="28"/>
        </w:rPr>
      </w:pPr>
      <w:r>
        <w:rPr>
          <w:rFonts w:hint="eastAsia" w:ascii="仿宋_GB2312" w:eastAsia="宋体" w:cs="仿宋_GB2312"/>
          <w:kern w:val="0"/>
          <w:sz w:val="28"/>
          <w:szCs w:val="28"/>
        </w:rPr>
        <w:t>1、個人投資者</w:t>
      </w:r>
    </w:p>
    <w:p>
      <w:pPr>
        <w:adjustRightInd w:val="0"/>
        <w:snapToGrid w:val="0"/>
        <w:spacing w:line="600" w:lineRule="exact"/>
        <w:jc w:val="left"/>
        <w:rPr>
          <w:rFonts w:ascii="仿宋_GB2312" w:eastAsia="仿宋_GB2312" w:cs="仿宋_GB2312"/>
          <w:kern w:val="0"/>
          <w:sz w:val="28"/>
          <w:szCs w:val="28"/>
        </w:rPr>
      </w:pPr>
      <w:r>
        <w:rPr>
          <w:rFonts w:hint="eastAsia" w:ascii="仿宋_GB2312" w:eastAsia="宋体" w:cs="仿宋_GB2312"/>
          <w:kern w:val="0"/>
          <w:sz w:val="28"/>
          <w:szCs w:val="28"/>
        </w:rPr>
        <w:t xml:space="preserve">   （1）</w:t>
      </w:r>
      <w:r>
        <w:rPr>
          <w:rFonts w:hint="eastAsia" w:ascii="仿宋_GB2312" w:hAnsi="宋体" w:eastAsia="宋体"/>
          <w:sz w:val="28"/>
          <w:szCs w:val="28"/>
        </w:rPr>
        <w:t>申請開戶時託管在其委託的期權經營機構的證券市值與資金帳戶可用餘額（不含通過融資融券交易融入的資金或證券），合計不低於人民幣50萬元</w:t>
      </w:r>
      <w:r>
        <w:rPr>
          <w:rFonts w:hint="eastAsia" w:ascii="仿宋_GB2312" w:eastAsia="宋体" w:cs="仿宋_GB2312"/>
          <w:kern w:val="0"/>
          <w:sz w:val="28"/>
          <w:szCs w:val="28"/>
        </w:rPr>
        <w:t>；</w:t>
      </w:r>
    </w:p>
    <w:p>
      <w:pPr>
        <w:adjustRightInd w:val="0"/>
        <w:snapToGrid w:val="0"/>
        <w:spacing w:line="600" w:lineRule="exact"/>
        <w:jc w:val="left"/>
        <w:rPr>
          <w:rFonts w:ascii="仿宋_GB2312" w:eastAsia="仿宋_GB2312" w:cs="仿宋_GB2312"/>
          <w:kern w:val="0"/>
          <w:sz w:val="28"/>
          <w:szCs w:val="28"/>
        </w:rPr>
      </w:pPr>
      <w:r>
        <w:rPr>
          <w:rFonts w:hint="eastAsia" w:ascii="仿宋_GB2312" w:eastAsia="宋体" w:cs="仿宋_GB2312"/>
          <w:kern w:val="0"/>
          <w:sz w:val="28"/>
          <w:szCs w:val="28"/>
        </w:rPr>
        <w:t xml:space="preserve">   （2）通過本公司的風險承受能力評估，1年內對該投資者進行過風險評估的，可不重做評估。</w:t>
      </w:r>
    </w:p>
    <w:p>
      <w:pPr>
        <w:adjustRightInd w:val="0"/>
        <w:snapToGrid w:val="0"/>
        <w:spacing w:line="600" w:lineRule="exact"/>
        <w:ind w:firstLine="560"/>
        <w:jc w:val="left"/>
        <w:rPr>
          <w:rFonts w:ascii="仿宋_GB2312" w:eastAsia="仿宋_GB2312" w:cs="仿宋_GB2312"/>
          <w:kern w:val="0"/>
          <w:sz w:val="28"/>
          <w:szCs w:val="28"/>
        </w:rPr>
      </w:pPr>
      <w:r>
        <w:rPr>
          <w:rFonts w:hint="eastAsia" w:ascii="仿宋_GB2312" w:eastAsia="宋体" w:cs="仿宋_GB2312"/>
          <w:kern w:val="0"/>
          <w:sz w:val="28"/>
          <w:szCs w:val="28"/>
        </w:rPr>
        <w:t>2、普通機構投資者</w:t>
      </w:r>
    </w:p>
    <w:p>
      <w:pPr>
        <w:adjustRightInd w:val="0"/>
        <w:snapToGrid w:val="0"/>
        <w:spacing w:line="600" w:lineRule="exact"/>
        <w:jc w:val="left"/>
        <w:rPr>
          <w:rFonts w:ascii="仿宋_GB2312" w:eastAsia="仿宋_GB2312" w:cs="仿宋_GB2312"/>
          <w:kern w:val="0"/>
          <w:sz w:val="28"/>
          <w:szCs w:val="28"/>
        </w:rPr>
      </w:pPr>
      <w:r>
        <w:rPr>
          <w:rFonts w:hint="eastAsia" w:ascii="仿宋_GB2312" w:eastAsia="宋体" w:cs="仿宋_GB2312"/>
          <w:kern w:val="0"/>
          <w:sz w:val="28"/>
          <w:szCs w:val="28"/>
        </w:rPr>
        <w:t xml:space="preserve">   （1）</w:t>
      </w:r>
      <w:r>
        <w:rPr>
          <w:rFonts w:hint="eastAsia" w:ascii="仿宋_GB2312" w:hAnsi="宋体" w:eastAsia="宋体"/>
          <w:sz w:val="28"/>
          <w:szCs w:val="28"/>
        </w:rPr>
        <w:t>申請開戶時託管在其委託的期權經營機構的證券市值與資金帳戶可用餘額（不含通過融資融券交易融入的資金或證券），合計不低於人民幣</w:t>
      </w:r>
      <w:r>
        <w:rPr>
          <w:rFonts w:hint="eastAsia" w:ascii="仿宋_GB2312" w:eastAsia="宋体" w:cs="仿宋_GB2312"/>
          <w:kern w:val="0"/>
          <w:sz w:val="28"/>
          <w:szCs w:val="28"/>
        </w:rPr>
        <w:t>100萬元；</w:t>
      </w:r>
    </w:p>
    <w:p>
      <w:pPr>
        <w:ind w:firstLine="548" w:firstLineChars="196"/>
        <w:rPr>
          <w:rFonts w:ascii="仿宋_GB2312" w:hAnsi="宋体" w:eastAsia="仿宋_GB2312"/>
          <w:sz w:val="28"/>
          <w:szCs w:val="28"/>
        </w:rPr>
      </w:pPr>
      <w:r>
        <w:rPr>
          <w:rFonts w:hint="eastAsia" w:ascii="仿宋_GB2312" w:eastAsia="宋体" w:cs="仿宋_GB2312"/>
          <w:kern w:val="0"/>
          <w:sz w:val="28"/>
          <w:szCs w:val="28"/>
        </w:rPr>
        <w:t>（2）</w:t>
      </w:r>
      <w:r>
        <w:rPr>
          <w:rFonts w:hint="eastAsia" w:ascii="仿宋_GB2312" w:hAnsi="宋体" w:eastAsia="宋体"/>
          <w:sz w:val="28"/>
          <w:szCs w:val="28"/>
        </w:rPr>
        <w:t>上一季度末淨資產不低於人民幣100萬元（新成立的機構取最近淨資產）</w:t>
      </w:r>
      <w:r>
        <w:rPr>
          <w:rFonts w:hint="eastAsia" w:ascii="仿宋_GB2312" w:eastAsia="宋体" w:cs="仿宋_GB2312"/>
          <w:kern w:val="0"/>
          <w:sz w:val="28"/>
          <w:szCs w:val="28"/>
        </w:rPr>
        <w:t>。</w:t>
      </w:r>
    </w:p>
    <w:p>
      <w:pPr>
        <w:ind w:firstLine="562" w:firstLineChars="200"/>
        <w:rPr>
          <w:rFonts w:ascii="仿宋_GB2312" w:eastAsia="仿宋_GB2312"/>
          <w:b/>
          <w:sz w:val="28"/>
          <w:szCs w:val="28"/>
        </w:rPr>
      </w:pPr>
      <w:r>
        <w:rPr>
          <w:rFonts w:hint="eastAsia" w:ascii="仿宋_GB2312" w:eastAsia="宋体"/>
          <w:b/>
          <w:sz w:val="28"/>
          <w:szCs w:val="28"/>
        </w:rPr>
        <w:t>（四）客戶資料的修改</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客戶資料修改業務包括客戶資訊資料修改、交易許可權修改、持倉限額修改、密碼重置等。帳戶資料修改應符合相關規定，並留痕。</w:t>
      </w:r>
    </w:p>
    <w:p>
      <w:pPr>
        <w:ind w:firstLine="560" w:firstLineChars="200"/>
        <w:rPr>
          <w:rFonts w:ascii="仿宋_GB2312" w:hAnsi="宋体" w:eastAsia="仿宋_GB2312"/>
          <w:color w:val="000000"/>
          <w:kern w:val="0"/>
          <w:sz w:val="28"/>
          <w:szCs w:val="28"/>
        </w:rPr>
      </w:pPr>
      <w:r>
        <w:rPr>
          <w:rFonts w:hint="eastAsia" w:ascii="仿宋_GB2312" w:hAnsi="宋体" w:eastAsia="宋体"/>
          <w:color w:val="000000"/>
          <w:kern w:val="0"/>
          <w:sz w:val="28"/>
          <w:szCs w:val="28"/>
        </w:rPr>
        <w:t>客戶資訊資料及密碼的修改等操作應嚴格遵循證券公司內部操作流程。客戶交易許可權及持倉限額的修改，由分支機構進行初步審查、復核後提交至總部審核。</w:t>
      </w:r>
    </w:p>
    <w:p>
      <w:pPr>
        <w:ind w:firstLine="562" w:firstLineChars="200"/>
        <w:rPr>
          <w:rFonts w:ascii="仿宋_GB2312" w:eastAsia="仿宋_GB2312"/>
          <w:b/>
          <w:sz w:val="28"/>
          <w:szCs w:val="28"/>
        </w:rPr>
      </w:pPr>
      <w:r>
        <w:rPr>
          <w:rFonts w:hint="eastAsia" w:ascii="仿宋_GB2312" w:eastAsia="宋体"/>
          <w:b/>
          <w:sz w:val="28"/>
          <w:szCs w:val="28"/>
        </w:rPr>
        <w:t>（五）客戶衍生品合約帳戶銷戶</w:t>
      </w:r>
    </w:p>
    <w:p>
      <w:pPr>
        <w:ind w:firstLine="560" w:firstLineChars="200"/>
        <w:jc w:val="left"/>
        <w:rPr>
          <w:rFonts w:ascii="仿宋_GB2312" w:eastAsia="仿宋_GB2312" w:cs="仿宋_GB2312"/>
          <w:sz w:val="28"/>
          <w:szCs w:val="28"/>
        </w:rPr>
      </w:pPr>
      <w:r>
        <w:rPr>
          <w:rFonts w:hint="eastAsia" w:ascii="仿宋_GB2312" w:hAnsi="宋体" w:eastAsia="宋体"/>
          <w:color w:val="000000"/>
          <w:kern w:val="0"/>
          <w:sz w:val="28"/>
          <w:szCs w:val="28"/>
        </w:rPr>
        <w:t>衍生品合約帳戶銷戶業務須</w:t>
      </w:r>
      <w:r>
        <w:rPr>
          <w:rFonts w:hint="eastAsia" w:ascii="仿宋_GB2312" w:eastAsia="宋体" w:cs="仿宋_GB2312"/>
          <w:sz w:val="28"/>
          <w:szCs w:val="28"/>
        </w:rPr>
        <w:t>由客戶本人按以下順序辦理：</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1、註銷衍生品合約帳戶；</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2、撤銷銀衍轉賬；</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olor w:val="000000"/>
          <w:kern w:val="0"/>
          <w:sz w:val="28"/>
          <w:szCs w:val="28"/>
        </w:rPr>
        <w:t>3、註銷股票期權保證金帳戶。</w:t>
      </w:r>
    </w:p>
    <w:p>
      <w:pPr>
        <w:ind w:firstLine="560" w:firstLineChars="200"/>
        <w:jc w:val="left"/>
        <w:rPr>
          <w:rFonts w:ascii="仿宋_GB2312" w:hAnsi="宋体" w:eastAsia="仿宋_GB2312"/>
          <w:color w:val="000000"/>
          <w:sz w:val="28"/>
          <w:szCs w:val="28"/>
        </w:rPr>
      </w:pPr>
      <w:r>
        <w:rPr>
          <w:rFonts w:hint="eastAsia" w:ascii="仿宋_GB2312" w:hAnsi="宋体" w:eastAsia="宋体"/>
          <w:color w:val="000000"/>
          <w:sz w:val="28"/>
          <w:szCs w:val="28"/>
        </w:rPr>
        <w:t>證券公司確認投資者合約帳戶內沒有持倉及未了結債權債務後，方可辦理投資者合約帳戶銷戶。投資者合約帳戶銷戶後方可辦理對應證券帳戶的撤銷指定交易和銷戶。</w:t>
      </w:r>
    </w:p>
    <w:p>
      <w:pPr>
        <w:pStyle w:val="2"/>
        <w:spacing w:line="240" w:lineRule="auto"/>
        <w:jc w:val="center"/>
        <w:rPr>
          <w:rFonts w:ascii="黑体" w:hAnsi="黑体" w:eastAsia="黑体"/>
          <w:kern w:val="2"/>
          <w:sz w:val="32"/>
          <w:szCs w:val="32"/>
        </w:rPr>
      </w:pPr>
      <w:bookmarkStart w:id="177" w:name="_Toc408749993"/>
      <w:bookmarkStart w:id="178" w:name="_Toc406439136"/>
      <w:bookmarkStart w:id="179" w:name="_Toc406436502"/>
      <w:bookmarkStart w:id="180" w:name="_Toc406438951"/>
      <w:bookmarkStart w:id="181" w:name="_Toc406438905"/>
      <w:bookmarkStart w:id="182" w:name="_Toc7668"/>
      <w:bookmarkStart w:id="183" w:name="_Toc15724"/>
      <w:bookmarkStart w:id="184" w:name="_Toc8009"/>
      <w:bookmarkStart w:id="185" w:name="_Toc452017014"/>
      <w:bookmarkStart w:id="186" w:name="_Toc23947149"/>
      <w:r>
        <w:rPr>
          <w:rFonts w:hint="eastAsia" w:ascii="黑体" w:hAnsi="黑体" w:eastAsia="宋体"/>
          <w:kern w:val="2"/>
          <w:sz w:val="32"/>
          <w:szCs w:val="32"/>
        </w:rPr>
        <w:t>第五章 持倉限額管理</w:t>
      </w:r>
      <w:bookmarkEnd w:id="177"/>
      <w:bookmarkEnd w:id="178"/>
      <w:bookmarkEnd w:id="179"/>
      <w:bookmarkEnd w:id="180"/>
      <w:bookmarkEnd w:id="181"/>
      <w:bookmarkEnd w:id="182"/>
      <w:bookmarkEnd w:id="183"/>
      <w:bookmarkEnd w:id="184"/>
      <w:bookmarkEnd w:id="185"/>
      <w:bookmarkEnd w:id="186"/>
    </w:p>
    <w:p>
      <w:pPr>
        <w:ind w:firstLine="555"/>
        <w:rPr>
          <w:rFonts w:ascii="仿宋_GB2312" w:eastAsia="仿宋_GB2312" w:cs="仿宋_GB2312"/>
          <w:sz w:val="28"/>
          <w:szCs w:val="28"/>
        </w:rPr>
      </w:pPr>
      <w:r>
        <w:rPr>
          <w:rFonts w:hint="eastAsia" w:ascii="仿宋_GB2312" w:eastAsia="宋体" w:cs="仿宋_GB2312"/>
          <w:sz w:val="28"/>
          <w:szCs w:val="28"/>
        </w:rPr>
        <w:t>公司總部負責制定持倉限額管理相關制度、統籌審核管理客戶持倉及限購額度以及本公司經紀業務持倉額度，分支機構協助總部做好相關工作。</w:t>
      </w:r>
    </w:p>
    <w:p>
      <w:pPr>
        <w:pStyle w:val="3"/>
        <w:ind w:firstLine="562"/>
      </w:pPr>
      <w:bookmarkStart w:id="187" w:name="_Toc408749994"/>
      <w:bookmarkStart w:id="188" w:name="_Toc406438906"/>
      <w:bookmarkStart w:id="189" w:name="_Toc404185883"/>
      <w:bookmarkStart w:id="190" w:name="_Toc8966"/>
      <w:bookmarkStart w:id="191" w:name="_Toc25229"/>
      <w:bookmarkStart w:id="192" w:name="_Toc32516"/>
      <w:bookmarkStart w:id="193" w:name="_Toc452017015"/>
      <w:bookmarkStart w:id="194" w:name="_Toc23947150"/>
      <w:r>
        <w:rPr>
          <w:rFonts w:hint="eastAsia" w:eastAsia="宋体"/>
        </w:rPr>
        <w:t>一、持倉限額前端控制</w:t>
      </w:r>
      <w:bookmarkEnd w:id="187"/>
      <w:bookmarkEnd w:id="188"/>
      <w:bookmarkEnd w:id="189"/>
      <w:bookmarkEnd w:id="190"/>
      <w:bookmarkEnd w:id="191"/>
      <w:bookmarkEnd w:id="192"/>
      <w:bookmarkEnd w:id="193"/>
      <w:bookmarkEnd w:id="194"/>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（一）持倉限額標準</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投資者（含期權經營機構自營業務）單個衍生品合約帳戶對單個合約品種的權利倉持倉限額、總持倉限額、單日買入開倉限額標準如下：</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權利倉持倉限額標準為：1、新開立合約帳戶的投資者，權利倉持倉限額為20張，總持倉限額為50張。2、合約帳戶開立滿1個月且期權合約成交量達到100張的投資者，權利倉持倉限額為1000張。對於經評估認為風險承受能力較強且具備三級交易許可權的客戶，證券公司可以適當縮短其合約帳戶開立時限要求。3、經證券公司評估認為風險承受能力較強、期權合約成交量達到500張且在證券公司託管的自有資產餘額超過100萬的客戶，權利倉持倉限額為2000張。4、經證券公司評估認為風險承受能力較強、期權合約成交量達到1000張且在證券公司託管的自有資產餘額超過500萬的客戶，權利倉持倉限額為5000張。總持倉限額根據權利倉持倉限額相應進行調整，為權利倉持倉限額的2倍，單日買入開倉限額</w:t>
      </w:r>
      <w:r>
        <w:rPr>
          <w:rFonts w:ascii="仿宋_GB2312" w:eastAsia="宋体" w:cs="仿宋_GB2312"/>
          <w:sz w:val="28"/>
          <w:szCs w:val="28"/>
        </w:rPr>
        <w:t>為總持倉限額的2倍，最大不超過1萬張。</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（二）前端控制</w:t>
      </w:r>
    </w:p>
    <w:p>
      <w:pPr>
        <w:spacing w:beforeLines="50" w:afterLines="50"/>
        <w:ind w:firstLine="504" w:firstLineChars="180"/>
        <w:rPr>
          <w:rFonts w:ascii="仿宋_GB2312" w:eastAsia="仿宋_GB2312"/>
          <w:kern w:val="0"/>
          <w:sz w:val="28"/>
          <w:szCs w:val="28"/>
        </w:rPr>
      </w:pPr>
      <w:bookmarkStart w:id="195" w:name="_Toc404185884"/>
      <w:bookmarkStart w:id="196" w:name="_Toc406438907"/>
      <w:r>
        <w:rPr>
          <w:rFonts w:hint="eastAsia" w:ascii="仿宋_GB2312" w:eastAsia="宋体" w:cs="仿宋_GB2312"/>
          <w:sz w:val="28"/>
          <w:szCs w:val="28"/>
        </w:rPr>
        <w:t>證券公司應監控客戶及自身經紀業務的期權合約持倉情況，包括：單個帳戶對同一合約品種權利倉持倉限額、總持倉限額、單日買入開倉限額、證券公司對同一合約品種的經紀業務總持倉限額。</w:t>
      </w:r>
    </w:p>
    <w:p>
      <w:pPr>
        <w:spacing w:beforeLines="50" w:afterLines="50"/>
        <w:ind w:firstLine="504" w:firstLineChars="180"/>
        <w:rPr>
          <w:rFonts w:ascii="仿宋_GB2312" w:eastAsia="仿宋_GB2312"/>
          <w:kern w:val="0"/>
          <w:sz w:val="28"/>
          <w:szCs w:val="28"/>
        </w:rPr>
      </w:pPr>
      <w:r>
        <w:rPr>
          <w:rFonts w:hint="eastAsia" w:ascii="仿宋_GB2312" w:eastAsia="宋体"/>
          <w:kern w:val="0"/>
          <w:sz w:val="28"/>
          <w:szCs w:val="28"/>
        </w:rPr>
        <w:t>單個帳戶對同一合約品種權利倉持倉限額指投資者持有該合約品種的認購期權和認沽期權合約的權利倉合計不超過的數量。單個帳戶對同一合約品種總持倉限額指投資者持有該合約品種的認購期權和認沽期權合約的權利倉和義務倉（含備兌開倉）合計不超過的數量。單個帳戶對同一合約品種</w:t>
      </w:r>
      <w:r>
        <w:rPr>
          <w:rFonts w:hint="eastAsia" w:ascii="仿宋_GB2312" w:eastAsia="宋体" w:cs="仿宋_GB2312"/>
          <w:sz w:val="28"/>
          <w:szCs w:val="28"/>
        </w:rPr>
        <w:t>單日買入開倉限額指投資者單日進行</w:t>
      </w:r>
      <w:r>
        <w:rPr>
          <w:rFonts w:hint="eastAsia" w:ascii="仿宋_GB2312" w:eastAsia="宋体"/>
          <w:kern w:val="0"/>
          <w:sz w:val="28"/>
          <w:szCs w:val="28"/>
        </w:rPr>
        <w:t>認購期權和認沽期權的權利倉開倉合計不超過的數量。證券公司對同一合約品種的經紀業務總持倉限額指證券公司經紀業務持有該合約品種的認購期權和認沽期權合約的權利倉和義務倉（含備兌開倉）合計不超過的數量。</w:t>
      </w:r>
    </w:p>
    <w:p>
      <w:pPr>
        <w:spacing w:beforeLines="50" w:afterLines="50"/>
        <w:ind w:firstLine="504" w:firstLineChars="180"/>
        <w:rPr>
          <w:rFonts w:ascii="仿宋_GB2312" w:eastAsia="仿宋_GB2312"/>
          <w:kern w:val="0"/>
          <w:sz w:val="28"/>
          <w:szCs w:val="28"/>
        </w:rPr>
      </w:pPr>
      <w:r>
        <w:rPr>
          <w:rFonts w:hint="eastAsia" w:ascii="仿宋_GB2312" w:eastAsia="宋体"/>
          <w:kern w:val="0"/>
          <w:sz w:val="28"/>
          <w:szCs w:val="28"/>
        </w:rPr>
        <w:t>對不同合約品種，可以設置不同的持倉限額。證券公司可以對不同客戶設置不同的持倉限額，但不得高於交易所規定標準。前端控制具體如下。</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對買入開倉：權利倉已持倉數量+買入開倉未成交申報數量（撤單需扣減）&lt;=權利倉持倉限額</w:t>
      </w:r>
    </w:p>
    <w:p>
      <w:pPr>
        <w:spacing w:beforeLines="50" w:afterLines="50"/>
        <w:ind w:firstLine="504" w:firstLineChars="180"/>
        <w:rPr>
          <w:rFonts w:ascii="仿宋_GB2312" w:eastAsia="仿宋_GB2312"/>
          <w:kern w:val="0"/>
          <w:sz w:val="28"/>
          <w:szCs w:val="28"/>
        </w:rPr>
      </w:pPr>
      <w:r>
        <w:rPr>
          <w:rFonts w:hint="eastAsia" w:ascii="仿宋_GB2312" w:eastAsia="宋体" w:cs="仿宋_GB2312"/>
          <w:sz w:val="28"/>
          <w:szCs w:val="28"/>
        </w:rPr>
        <w:t>對買入開倉和賣出開倉：權利倉已持倉數量+義務倉已持倉數量（包括備兌開倉）+買入開倉未成交申報數量（撤單需扣減）+賣出開倉未成交申報數量（撤單需扣減，包括備兌開倉）&lt;=總持倉限額</w:t>
      </w:r>
    </w:p>
    <w:p>
      <w:pPr>
        <w:widowControl/>
        <w:spacing w:before="120" w:after="120"/>
        <w:ind w:firstLine="420" w:firstLineChars="150"/>
        <w:jc w:val="left"/>
        <w:rPr>
          <w:rFonts w:ascii="仿宋_GB2312" w:eastAsia="仿宋_GB2312" w:cs="仿宋_GB2312"/>
          <w:sz w:val="28"/>
          <w:szCs w:val="28"/>
        </w:rPr>
      </w:pPr>
      <w:r>
        <w:rPr>
          <w:rFonts w:hint="eastAsia" w:ascii="仿宋_GB2312" w:eastAsia="宋体" w:cs="仿宋_GB2312"/>
          <w:sz w:val="28"/>
          <w:szCs w:val="28"/>
        </w:rPr>
        <w:t>對單日買入開倉：</w:t>
      </w:r>
      <w:r>
        <w:rPr>
          <w:rFonts w:hint="eastAsia" w:ascii="仿宋_GB2312" w:eastAsia="宋体"/>
          <w:kern w:val="0"/>
          <w:sz w:val="28"/>
          <w:szCs w:val="28"/>
        </w:rPr>
        <w:t>該合約品種當日已累計買入開倉數量（撤單需扣減實際撤單數量）+該筆買入開倉數量&lt;=該合約品種單日買入開倉限額，否則該筆開倉無效。（平倉後不計增單日可買入開倉額度）</w:t>
      </w:r>
      <w:r>
        <w:rPr>
          <w:rFonts w:hint="eastAsia" w:ascii="仿宋_GB2312" w:eastAsia="宋体" w:cs="仿宋_GB2312"/>
          <w:sz w:val="28"/>
          <w:szCs w:val="28"/>
        </w:rPr>
        <w:t>。</w:t>
      </w:r>
    </w:p>
    <w:p>
      <w:pPr>
        <w:spacing w:beforeLines="50" w:afterLines="50"/>
        <w:ind w:firstLine="504" w:firstLineChars="180"/>
        <w:rPr>
          <w:rFonts w:ascii="仿宋_GB2312" w:eastAsia="仿宋_GB2312"/>
          <w:kern w:val="0"/>
          <w:sz w:val="28"/>
          <w:szCs w:val="28"/>
        </w:rPr>
      </w:pPr>
      <w:r>
        <w:rPr>
          <w:rFonts w:hint="eastAsia" w:ascii="仿宋_GB2312" w:eastAsia="宋体"/>
          <w:kern w:val="0"/>
          <w:sz w:val="28"/>
          <w:szCs w:val="28"/>
        </w:rPr>
        <w:t>證券公司應就上述針對同一合約品種的持倉數量設置持倉比例預警值，確保投資者、證券公司經紀業務對同一合約品種的持倉不超過</w:t>
      </w:r>
      <w:r>
        <w:rPr>
          <w:rFonts w:hint="eastAsia" w:ascii="仿宋_GB2312" w:eastAsia="宋体"/>
          <w:sz w:val="28"/>
          <w:szCs w:val="28"/>
        </w:rPr>
        <w:t>上交所</w:t>
      </w:r>
      <w:r>
        <w:rPr>
          <w:rFonts w:hint="eastAsia" w:ascii="仿宋_GB2312" w:eastAsia="宋体"/>
          <w:kern w:val="0"/>
          <w:sz w:val="28"/>
          <w:szCs w:val="28"/>
        </w:rPr>
        <w:t>規定的持倉限額。同一合約品種持倉比例=對單個合約品種持倉數量之和/持倉限額。</w:t>
      </w:r>
    </w:p>
    <w:p>
      <w:pPr>
        <w:pStyle w:val="91"/>
        <w:ind w:firstLine="548" w:firstLineChars="196"/>
        <w:rPr>
          <w:rFonts w:ascii="仿宋_GB2312" w:hAnsi="仿宋" w:eastAsia="仿宋_GB2312"/>
          <w:color w:val="auto"/>
          <w:sz w:val="28"/>
          <w:szCs w:val="28"/>
        </w:rPr>
      </w:pPr>
      <w:r>
        <w:rPr>
          <w:rFonts w:hint="eastAsia" w:ascii="仿宋_GB2312" w:eastAsia="宋体" w:cs="仿宋_GB2312"/>
          <w:sz w:val="28"/>
          <w:szCs w:val="28"/>
        </w:rPr>
        <w:t>為了對整個經紀業務持倉風險進行控制，證券公司應當對經紀業務中同一合約品種的總持倉進行前端控制。對於經紀業務同一合約品種總持倉占持倉限額比例達到一定閥值（比如80%，證券公司可以結合本公司實際情況確定閥值）時，證券公司根據自身情況決定是否向上交所提出調高總持倉限額的申請。若需調整總持倉限額，需提交相關申請材料，上交所將根據市場情況以及申請人的申請材料、資信狀況、交易情況等，對其額度申請進行審核。</w:t>
      </w:r>
    </w:p>
    <w:p>
      <w:pPr>
        <w:pStyle w:val="91"/>
        <w:jc w:val="center"/>
        <w:rPr>
          <w:rFonts w:ascii="仿宋_GB2312" w:hAnsi="仿宋" w:eastAsia="仿宋_GB2312" w:cs="仿宋_GB2312"/>
          <w:color w:val="auto"/>
          <w:sz w:val="28"/>
          <w:szCs w:val="28"/>
        </w:rPr>
      </w:pPr>
      <w:r>
        <w:rPr>
          <w:rFonts w:hint="eastAsia" w:ascii="仿宋_GB2312" w:hAnsi="仿宋" w:eastAsia="宋体"/>
          <w:color w:val="auto"/>
          <w:sz w:val="28"/>
          <w:szCs w:val="28"/>
        </w:rPr>
        <w:t>表</w:t>
      </w:r>
      <w:r>
        <w:rPr>
          <w:rFonts w:hint="eastAsia" w:ascii="仿宋_GB2312" w:hAnsi="仿宋" w:eastAsia="宋体" w:cs="Times New Roman"/>
          <w:color w:val="auto"/>
          <w:sz w:val="28"/>
          <w:szCs w:val="28"/>
        </w:rPr>
        <w:t xml:space="preserve">1 </w:t>
      </w:r>
      <w:r>
        <w:rPr>
          <w:rFonts w:hint="eastAsia" w:ascii="仿宋_GB2312" w:hAnsi="仿宋" w:eastAsia="宋体"/>
          <w:color w:val="auto"/>
          <w:sz w:val="28"/>
          <w:szCs w:val="28"/>
        </w:rPr>
        <w:t>同一合約品種持倉限額設置 （單位：張）</w:t>
      </w:r>
    </w:p>
    <w:tbl>
      <w:tblPr>
        <w:tblStyle w:val="2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03"/>
        <w:gridCol w:w="1901"/>
        <w:gridCol w:w="22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05" w:type="dxa"/>
            <w:gridSpan w:val="3"/>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單個帳戶</w:t>
            </w:r>
          </w:p>
        </w:tc>
        <w:tc>
          <w:tcPr>
            <w:tcW w:w="2275" w:type="dxa"/>
            <w:tcBorders>
              <w:right w:val="single" w:color="auto" w:sz="4" w:space="0"/>
            </w:tcBorders>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證券公司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705" w:type="dxa"/>
            <w:gridSpan w:val="3"/>
            <w:vAlign w:val="center"/>
          </w:tcPr>
          <w:p>
            <w:pPr>
              <w:widowControl/>
              <w:rPr>
                <w:rFonts w:ascii="仿宋_GB2312" w:hAnsi="仿宋" w:eastAsia="仿宋_GB2312" w:cs="宋体"/>
                <w:kern w:val="0"/>
                <w:sz w:val="24"/>
                <w:szCs w:val="28"/>
              </w:rPr>
            </w:pPr>
            <w:r>
              <w:rPr>
                <w:rFonts w:hint="eastAsia" w:ascii="仿宋_GB2312" w:hAnsi="仿宋" w:eastAsia="宋体" w:cs="宋体"/>
                <w:kern w:val="0"/>
                <w:sz w:val="24"/>
                <w:szCs w:val="28"/>
              </w:rPr>
              <w:t>投資者（包括個人投資者、機構投資者和自營）</w:t>
            </w:r>
          </w:p>
        </w:tc>
        <w:tc>
          <w:tcPr>
            <w:tcW w:w="2275" w:type="dxa"/>
            <w:tcBorders>
              <w:right w:val="single" w:color="auto" w:sz="4" w:space="0"/>
            </w:tcBorders>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經紀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01" w:type="dxa"/>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權利倉持倉限額</w:t>
            </w:r>
          </w:p>
        </w:tc>
        <w:tc>
          <w:tcPr>
            <w:tcW w:w="1903" w:type="dxa"/>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總持倉限額</w:t>
            </w:r>
          </w:p>
        </w:tc>
        <w:tc>
          <w:tcPr>
            <w:tcW w:w="1901" w:type="dxa"/>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單日買入開倉限額（單日開倉限額）</w:t>
            </w:r>
          </w:p>
        </w:tc>
        <w:tc>
          <w:tcPr>
            <w:tcW w:w="2275" w:type="dxa"/>
            <w:tcBorders>
              <w:right w:val="single" w:color="auto" w:sz="4" w:space="0"/>
            </w:tcBorders>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總持倉限額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01" w:type="dxa"/>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w:t>
            </w:r>
          </w:p>
        </w:tc>
        <w:tc>
          <w:tcPr>
            <w:tcW w:w="1903" w:type="dxa"/>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w:t>
            </w:r>
          </w:p>
        </w:tc>
        <w:tc>
          <w:tcPr>
            <w:tcW w:w="1901" w:type="dxa"/>
            <w:vAlign w:val="center"/>
          </w:tcPr>
          <w:p>
            <w:pPr>
              <w:jc w:val="center"/>
              <w:rPr>
                <w:rFonts w:ascii="仿宋_GB2312" w:hAnsi="仿宋" w:eastAsia="仿宋_GB2312" w:cs="宋体"/>
                <w:kern w:val="0"/>
                <w:sz w:val="24"/>
                <w:szCs w:val="28"/>
              </w:rPr>
            </w:pPr>
            <w:r>
              <w:rPr>
                <w:rFonts w:hint="eastAsia" w:ascii="仿宋_GB2312" w:hAnsi="仿宋" w:eastAsia="宋体" w:cs="宋体"/>
                <w:kern w:val="0"/>
                <w:sz w:val="24"/>
                <w:szCs w:val="28"/>
              </w:rPr>
              <w:t>*</w:t>
            </w:r>
          </w:p>
        </w:tc>
        <w:tc>
          <w:tcPr>
            <w:tcW w:w="2275" w:type="dxa"/>
            <w:tcBorders>
              <w:right w:val="single" w:color="auto" w:sz="4" w:space="0"/>
            </w:tcBorders>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w:t>
            </w:r>
          </w:p>
        </w:tc>
      </w:tr>
    </w:tbl>
    <w:p>
      <w:pPr>
        <w:spacing w:beforeLines="50" w:afterLines="50"/>
        <w:ind w:firstLine="504" w:firstLineChars="180"/>
        <w:rPr>
          <w:rFonts w:ascii="仿宋_GB2312" w:eastAsia="仿宋_GB2312" w:cs="仿宋_GB2312"/>
          <w:kern w:val="0"/>
          <w:sz w:val="28"/>
          <w:szCs w:val="28"/>
        </w:rPr>
      </w:pPr>
    </w:p>
    <w:p>
      <w:pPr>
        <w:spacing w:beforeLines="50" w:afterLines="50"/>
        <w:ind w:firstLine="506" w:firstLineChars="180"/>
        <w:rPr>
          <w:rFonts w:ascii="仿宋_GB2312" w:eastAsia="仿宋_GB2312" w:cs="仿宋_GB2312"/>
          <w:kern w:val="0"/>
          <w:sz w:val="28"/>
          <w:szCs w:val="28"/>
        </w:rPr>
      </w:pPr>
      <w:bookmarkStart w:id="197" w:name="_Toc452016762"/>
      <w:bookmarkStart w:id="198" w:name="_Toc452016941"/>
      <w:bookmarkStart w:id="199" w:name="_Toc452017016"/>
      <w:bookmarkStart w:id="200" w:name="_Toc14171"/>
      <w:bookmarkStart w:id="201" w:name="_Toc13567"/>
      <w:bookmarkStart w:id="202" w:name="_Toc10828"/>
      <w:r>
        <w:rPr>
          <w:rFonts w:hint="eastAsia" w:ascii="仿宋_GB2312" w:eastAsia="宋体" w:cs="仿宋_GB2312"/>
          <w:b/>
          <w:bCs/>
          <w:kern w:val="0"/>
          <w:sz w:val="28"/>
          <w:szCs w:val="28"/>
        </w:rPr>
        <w:t>（二）持倉限額佔用預警與調整</w:t>
      </w:r>
      <w:bookmarkEnd w:id="197"/>
      <w:bookmarkEnd w:id="198"/>
      <w:bookmarkEnd w:id="199"/>
      <w:bookmarkEnd w:id="200"/>
      <w:bookmarkEnd w:id="201"/>
      <w:bookmarkEnd w:id="202"/>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1、證券公司</w:t>
      </w:r>
      <w:r>
        <w:rPr>
          <w:rFonts w:hint="eastAsia" w:ascii="仿宋_GB2312" w:eastAsia="宋体" w:cs="仿宋_GB2312"/>
          <w:kern w:val="0"/>
          <w:sz w:val="28"/>
          <w:szCs w:val="28"/>
        </w:rPr>
        <w:t>以合約帳戶為單位對投資者的持倉限額</w:t>
      </w:r>
      <w:r>
        <w:rPr>
          <w:rFonts w:hint="eastAsia" w:ascii="仿宋_GB2312" w:eastAsia="宋体" w:cs="仿宋_GB2312"/>
          <w:sz w:val="28"/>
          <w:szCs w:val="28"/>
        </w:rPr>
        <w:t>進行前端控制。對超過限額導致的申報失敗應有提醒。</w:t>
      </w:r>
    </w:p>
    <w:p>
      <w:pPr>
        <w:spacing w:beforeLines="50" w:afterLines="50"/>
        <w:ind w:firstLine="504" w:firstLineChars="180"/>
        <w:rPr>
          <w:rFonts w:ascii="仿宋_GB2312" w:eastAsia="仿宋_GB2312"/>
          <w:kern w:val="0"/>
          <w:sz w:val="28"/>
          <w:szCs w:val="28"/>
        </w:rPr>
      </w:pPr>
      <w:r>
        <w:rPr>
          <w:rFonts w:hint="eastAsia" w:ascii="仿宋_GB2312" w:eastAsia="宋体" w:cs="仿宋_GB2312"/>
          <w:sz w:val="28"/>
          <w:szCs w:val="28"/>
        </w:rPr>
        <w:t>2、對因上交所持倉限額調整</w:t>
      </w:r>
      <w:r>
        <w:rPr>
          <w:rFonts w:hint="eastAsia" w:ascii="仿宋_GB2312" w:eastAsia="宋体"/>
          <w:kern w:val="0"/>
          <w:sz w:val="28"/>
          <w:szCs w:val="28"/>
        </w:rPr>
        <w:t>或投資者申請的持倉限額到期導致投資者持倉超限，證券公司不需要求投資者自行平倉或對投資者的超額持倉進行強行平倉，但對開倉需按新的持倉限額進行限制。對投資者額度使用情況與申請不符的，證券公司應及時對該投資者限制開倉並要求其自行平倉，同時及時向交易所報告。</w:t>
      </w:r>
    </w:p>
    <w:p>
      <w:pPr>
        <w:ind w:firstLine="560" w:firstLineChars="200"/>
        <w:rPr>
          <w:rFonts w:ascii="仿宋_GB2312" w:eastAsia="仿宋_GB2312" w:cs="仿宋_GB2312"/>
          <w:sz w:val="28"/>
          <w:szCs w:val="28"/>
        </w:rPr>
      </w:pPr>
      <w:r>
        <w:rPr>
          <w:rFonts w:hint="eastAsia" w:ascii="仿宋_GB2312" w:eastAsia="宋体" w:cs="仿宋_GB2312"/>
          <w:sz w:val="28"/>
          <w:szCs w:val="28"/>
        </w:rPr>
        <w:t>3、在本所持倉限額範圍內，若客戶存在頻繁的強行平倉、交易違規等情況，證券公司可對客戶的持倉限額進行下調，證券公司應當至少提前三個交易日將調整情況告知客戶。如客戶持倉超過新核定持倉額度，證券公司可採取限制新開倉、要求客戶自行平倉等措施。</w:t>
      </w:r>
    </w:p>
    <w:p>
      <w:pPr>
        <w:ind w:firstLine="560" w:firstLineChars="200"/>
        <w:rPr>
          <w:rFonts w:ascii="仿宋_GB2312" w:eastAsia="仿宋_GB2312" w:cs="仿宋_GB2312"/>
          <w:sz w:val="28"/>
          <w:szCs w:val="28"/>
        </w:rPr>
      </w:pPr>
      <w:r>
        <w:rPr>
          <w:rFonts w:hint="eastAsia" w:ascii="仿宋_GB2312" w:eastAsia="宋体" w:cs="仿宋_GB2312"/>
          <w:sz w:val="28"/>
          <w:szCs w:val="28"/>
        </w:rPr>
        <w:t>若客戶主動申請調低持倉限額，證券公司應當同意，並按其申請額度進行配置。</w:t>
      </w:r>
    </w:p>
    <w:p>
      <w:pPr>
        <w:spacing w:beforeLines="50" w:afterLines="50"/>
        <w:ind w:firstLine="504" w:firstLineChars="180"/>
        <w:rPr>
          <w:rFonts w:ascii="仿宋_GB2312" w:eastAsia="仿宋_GB2312"/>
          <w:kern w:val="0"/>
          <w:sz w:val="28"/>
          <w:szCs w:val="28"/>
        </w:rPr>
      </w:pPr>
      <w:r>
        <w:rPr>
          <w:rFonts w:hint="eastAsia" w:ascii="仿宋_GB2312" w:eastAsia="宋体"/>
          <w:kern w:val="0"/>
          <w:sz w:val="28"/>
          <w:szCs w:val="28"/>
        </w:rPr>
        <w:t>4、對違反上交所規定（不含上述第（二）項）的超額持倉或開倉，如前端控制失效導致持倉超過</w:t>
      </w:r>
      <w:r>
        <w:rPr>
          <w:rFonts w:hint="eastAsia" w:ascii="仿宋_GB2312" w:eastAsia="宋体" w:cs="仿宋_GB2312"/>
          <w:sz w:val="28"/>
          <w:szCs w:val="28"/>
        </w:rPr>
        <w:t>上交所</w:t>
      </w:r>
      <w:r>
        <w:rPr>
          <w:rFonts w:hint="eastAsia" w:ascii="仿宋_GB2312" w:eastAsia="宋体"/>
          <w:kern w:val="0"/>
          <w:sz w:val="28"/>
          <w:szCs w:val="28"/>
        </w:rPr>
        <w:t>規定水準，證券公司應及時對投資者的超額持倉進行強行平倉，否則上交所將按相關規定對證券公司進行處理。</w:t>
      </w:r>
    </w:p>
    <w:p>
      <w:pPr>
        <w:widowControl/>
        <w:spacing w:after="150" w:line="600" w:lineRule="exact"/>
        <w:ind w:left="-76" w:right="-76" w:firstLine="565" w:firstLineChars="202"/>
        <w:rPr>
          <w:rFonts w:ascii="仿宋_GB2312" w:eastAsia="仿宋_GB2312"/>
          <w:sz w:val="28"/>
          <w:szCs w:val="28"/>
        </w:rPr>
      </w:pPr>
      <w:r>
        <w:rPr>
          <w:rFonts w:hint="eastAsia" w:ascii="仿宋_GB2312" w:eastAsia="宋体" w:cs="仿宋_GB2312"/>
          <w:sz w:val="28"/>
          <w:szCs w:val="28"/>
        </w:rPr>
        <w:t>5、</w:t>
      </w:r>
      <w:r>
        <w:rPr>
          <w:rFonts w:hint="eastAsia" w:ascii="仿宋_GB2312" w:eastAsia="宋体"/>
          <w:kern w:val="0"/>
          <w:sz w:val="28"/>
          <w:szCs w:val="28"/>
        </w:rPr>
        <w:t>投資者因套保等需要可以通過證券公司向上交所申請提高持倉限額。</w:t>
      </w:r>
      <w:r>
        <w:rPr>
          <w:rFonts w:hint="eastAsia" w:ascii="仿宋_GB2312" w:eastAsia="宋体"/>
          <w:sz w:val="28"/>
          <w:szCs w:val="28"/>
        </w:rPr>
        <w:t>聯繫方式：021-</w:t>
      </w:r>
      <w:r>
        <w:rPr>
          <w:rFonts w:ascii="仿宋_GB2312" w:eastAsia="宋体"/>
          <w:sz w:val="28"/>
          <w:szCs w:val="28"/>
        </w:rPr>
        <w:t>68811322</w:t>
      </w:r>
      <w:r>
        <w:rPr>
          <w:rFonts w:hint="eastAsia" w:ascii="仿宋_GB2312" w:eastAsia="宋体"/>
          <w:sz w:val="28"/>
          <w:szCs w:val="28"/>
        </w:rPr>
        <w:t>。</w:t>
      </w:r>
    </w:p>
    <w:p>
      <w:pPr>
        <w:widowControl/>
        <w:ind w:firstLine="420" w:firstLineChars="150"/>
        <w:jc w:val="left"/>
        <w:rPr>
          <w:rFonts w:ascii="仿宋_GB2312" w:eastAsia="仿宋_GB2312"/>
          <w:kern w:val="0"/>
          <w:sz w:val="28"/>
          <w:szCs w:val="28"/>
        </w:rPr>
      </w:pPr>
      <w:r>
        <w:rPr>
          <w:rFonts w:hint="eastAsia" w:ascii="仿宋_GB2312" w:eastAsia="宋体"/>
          <w:kern w:val="0"/>
          <w:sz w:val="28"/>
          <w:szCs w:val="28"/>
        </w:rPr>
        <w:t>6、投資者符合本所相關規定可以調高持倉限額的，證券公司應當及時、主動為投資者進行相應的持倉限額調整，無需投資者提交申請，並儘快將持倉限額調整的情況通知到客戶。</w:t>
      </w:r>
    </w:p>
    <w:bookmarkEnd w:id="195"/>
    <w:bookmarkEnd w:id="196"/>
    <w:p>
      <w:pPr>
        <w:adjustRightInd w:val="0"/>
        <w:snapToGrid w:val="0"/>
        <w:spacing w:line="600" w:lineRule="exact"/>
        <w:ind w:firstLine="560"/>
        <w:jc w:val="left"/>
        <w:rPr>
          <w:rFonts w:ascii="仿宋_GB2312" w:eastAsia="仿宋_GB2312" w:cs="仿宋_GB2312"/>
          <w:sz w:val="28"/>
          <w:szCs w:val="28"/>
        </w:rPr>
      </w:pPr>
      <w:r>
        <w:rPr>
          <w:rFonts w:hint="eastAsia" w:ascii="仿宋_GB2312" w:eastAsia="宋体" w:cs="仿宋_GB2312"/>
          <w:kern w:val="0"/>
          <w:sz w:val="28"/>
          <w:szCs w:val="28"/>
        </w:rPr>
        <w:t>7、投資者持有多個合約帳戶時，在提供合約帳戶相關憑證或交易記錄的情況下，證券公司可以將其合約帳戶中最高的持倉限額作為其他合約帳戶的持倉限額。</w:t>
      </w:r>
    </w:p>
    <w:p>
      <w:pPr>
        <w:ind w:firstLine="560" w:firstLineChars="200"/>
        <w:rPr>
          <w:rFonts w:ascii="仿宋_GB2312" w:eastAsia="仿宋_GB2312" w:cs="仿宋_GB2312"/>
          <w:sz w:val="28"/>
          <w:szCs w:val="28"/>
        </w:rPr>
      </w:pPr>
    </w:p>
    <w:p>
      <w:pPr>
        <w:pStyle w:val="2"/>
        <w:ind w:firstLine="562" w:firstLineChars="200"/>
      </w:pPr>
      <w:bookmarkStart w:id="203" w:name="_Toc408749995"/>
      <w:bookmarkStart w:id="204" w:name="_Toc404185886"/>
      <w:bookmarkStart w:id="205" w:name="_Toc406438909"/>
      <w:bookmarkStart w:id="206" w:name="_Toc22958"/>
      <w:bookmarkStart w:id="207" w:name="_Toc27165"/>
      <w:bookmarkStart w:id="208" w:name="_Toc30587"/>
      <w:bookmarkStart w:id="209" w:name="_Toc452017017"/>
      <w:bookmarkStart w:id="210" w:name="_Toc23947151"/>
      <w:r>
        <w:rPr>
          <w:rFonts w:hint="eastAsia" w:ascii="仿宋_GB2312" w:eastAsia="宋体" w:cs="仿宋_GB2312"/>
          <w:szCs w:val="28"/>
        </w:rPr>
        <w:t>二</w:t>
      </w:r>
      <w:r>
        <w:rPr>
          <w:rFonts w:hint="eastAsia" w:eastAsia="宋体"/>
        </w:rPr>
        <w:t>、客戶買入額度管理</w:t>
      </w:r>
      <w:bookmarkEnd w:id="203"/>
      <w:bookmarkEnd w:id="204"/>
      <w:bookmarkEnd w:id="205"/>
      <w:r>
        <w:rPr>
          <w:rFonts w:hint="eastAsia" w:eastAsia="宋体"/>
        </w:rPr>
        <w:t>（限購）</w:t>
      </w:r>
      <w:bookmarkEnd w:id="206"/>
      <w:bookmarkEnd w:id="207"/>
      <w:bookmarkEnd w:id="208"/>
      <w:bookmarkEnd w:id="209"/>
      <w:bookmarkEnd w:id="210"/>
    </w:p>
    <w:p>
      <w:pPr>
        <w:ind w:firstLine="562" w:firstLineChars="200"/>
        <w:rPr>
          <w:rFonts w:ascii="仿宋_GB2312" w:eastAsia="仿宋_GB2312"/>
          <w:b/>
          <w:sz w:val="28"/>
          <w:szCs w:val="28"/>
        </w:rPr>
      </w:pPr>
      <w:bookmarkStart w:id="211" w:name="_Toc404185887"/>
      <w:bookmarkStart w:id="212" w:name="_Toc406438910"/>
      <w:r>
        <w:rPr>
          <w:rFonts w:hint="eastAsia" w:ascii="仿宋_GB2312" w:eastAsia="宋体"/>
          <w:b/>
          <w:sz w:val="28"/>
          <w:szCs w:val="28"/>
        </w:rPr>
        <w:t>（一）限購前端控制</w:t>
      </w:r>
      <w:bookmarkEnd w:id="211"/>
      <w:bookmarkEnd w:id="212"/>
    </w:p>
    <w:p>
      <w:pPr>
        <w:ind w:firstLine="560" w:firstLineChars="200"/>
        <w:rPr>
          <w:rFonts w:ascii="仿宋_GB2312" w:eastAsia="仿宋_GB2312" w:cs="仿宋_GB2312"/>
          <w:sz w:val="28"/>
          <w:szCs w:val="28"/>
        </w:rPr>
      </w:pPr>
      <w:r>
        <w:rPr>
          <w:rFonts w:hint="eastAsia" w:ascii="仿宋_GB2312" w:eastAsia="宋体" w:cs="仿宋_GB2312"/>
          <w:sz w:val="28"/>
          <w:szCs w:val="28"/>
        </w:rPr>
        <w:t>股票期權業務對個人投資者實行買入額度管理，即限購。證券公司</w:t>
      </w:r>
      <w:r>
        <w:rPr>
          <w:rFonts w:hint="eastAsia" w:ascii="仿宋_GB2312" w:eastAsia="宋体"/>
          <w:kern w:val="0"/>
          <w:sz w:val="28"/>
          <w:szCs w:val="28"/>
        </w:rPr>
        <w:t>以合約帳戶為單位對投資者買入金額進行前端控制，</w:t>
      </w:r>
      <w:r>
        <w:rPr>
          <w:rFonts w:hint="eastAsia" w:ascii="仿宋_GB2312" w:eastAsia="宋体" w:cs="仿宋_GB2312"/>
          <w:sz w:val="28"/>
          <w:szCs w:val="28"/>
        </w:rPr>
        <w:t>對超過額度導致的申報失敗在交易客戶端介面進行提醒及解釋。</w:t>
      </w:r>
    </w:p>
    <w:p>
      <w:pPr>
        <w:ind w:firstLine="560" w:firstLineChars="200"/>
        <w:rPr>
          <w:rFonts w:ascii="仿宋_GB2312" w:eastAsia="仿宋_GB2312" w:cs="仿宋_GB2312"/>
          <w:sz w:val="28"/>
          <w:szCs w:val="28"/>
        </w:rPr>
      </w:pPr>
      <w:r>
        <w:rPr>
          <w:rFonts w:hint="eastAsia" w:ascii="仿宋_GB2312" w:eastAsia="宋体" w:cs="仿宋_GB2312"/>
          <w:sz w:val="28"/>
          <w:szCs w:val="28"/>
        </w:rPr>
        <w:t>證券公司可根據自身情況，結合個人客戶的資產狀況、適當性綜合評估結果等因素，規定客戶的限購額度，該限額不得超過本所規定的限購額度。證券公司總部負責客戶限購額度的審核。</w:t>
      </w:r>
    </w:p>
    <w:p>
      <w:pPr>
        <w:ind w:firstLine="560" w:firstLineChars="200"/>
        <w:rPr>
          <w:rFonts w:ascii="仿宋_GB2312" w:eastAsia="仿宋_GB2312" w:cs="仿宋_GB2312"/>
          <w:sz w:val="28"/>
          <w:szCs w:val="28"/>
        </w:rPr>
      </w:pPr>
      <w:r>
        <w:rPr>
          <w:rFonts w:hint="eastAsia" w:ascii="仿宋_GB2312" w:eastAsia="宋体" w:cs="仿宋_GB2312"/>
          <w:sz w:val="28"/>
          <w:szCs w:val="28"/>
        </w:rPr>
        <w:t>本所規定個人客戶用於期權買入開倉的資金規模，不得超過下述金額中較高者（已申請並獲本所批准的套保額度帳戶除外）：</w:t>
      </w:r>
    </w:p>
    <w:p>
      <w:pPr>
        <w:numPr>
          <w:ilvl w:val="0"/>
          <w:numId w:val="2"/>
        </w:numPr>
        <w:ind w:firstLine="560" w:firstLineChars="200"/>
        <w:rPr>
          <w:rFonts w:ascii="仿宋_GB2312" w:eastAsia="仿宋_GB2312" w:cs="仿宋_GB2312"/>
          <w:kern w:val="0"/>
          <w:sz w:val="28"/>
          <w:szCs w:val="28"/>
        </w:rPr>
      </w:pPr>
      <w:r>
        <w:rPr>
          <w:rFonts w:hint="eastAsia" w:ascii="仿宋_GB2312" w:eastAsia="宋体" w:cs="仿宋_GB2312"/>
          <w:sz w:val="28"/>
          <w:szCs w:val="28"/>
        </w:rPr>
        <w:t>客戶由證券公司託管的</w:t>
      </w:r>
      <w:r>
        <w:rPr>
          <w:rFonts w:hint="eastAsia" w:ascii="仿宋_GB2312" w:eastAsia="宋体"/>
          <w:sz w:val="28"/>
          <w:szCs w:val="28"/>
        </w:rPr>
        <w:t>自有資產餘額</w:t>
      </w:r>
      <w:r>
        <w:rPr>
          <w:rFonts w:hint="eastAsia" w:ascii="仿宋_GB2312" w:eastAsia="宋体" w:cs="仿宋_GB2312"/>
          <w:sz w:val="28"/>
          <w:szCs w:val="28"/>
        </w:rPr>
        <w:t xml:space="preserve">10%。 </w:t>
      </w:r>
      <w:r>
        <w:rPr>
          <w:rFonts w:hint="eastAsia" w:ascii="仿宋_GB2312" w:eastAsia="宋体" w:cs="仿宋_GB2312"/>
          <w:kern w:val="0"/>
          <w:sz w:val="28"/>
          <w:szCs w:val="28"/>
        </w:rPr>
        <w:t>對於風險承受能力較強且具備三級交易許可權的客戶，證券公司可以將其買入金額限額提高至不超過該客戶託管在該證券公司的自有資產餘額的20%；對於權利倉持倉限額已達到2000張的客戶，證券公司可以將其買入金額限額提高至不超過該客戶託管在該證券公司的自有資產餘額的30%。</w:t>
      </w:r>
    </w:p>
    <w:p>
      <w:pPr>
        <w:ind w:firstLine="560" w:firstLineChars="200"/>
        <w:rPr>
          <w:rFonts w:ascii="仿宋_GB2312" w:eastAsia="仿宋_GB2312" w:cs="仿宋_GB2312"/>
          <w:kern w:val="0"/>
          <w:sz w:val="28"/>
          <w:szCs w:val="28"/>
        </w:rPr>
      </w:pPr>
      <w:r>
        <w:rPr>
          <w:rFonts w:hint="eastAsia" w:ascii="仿宋_GB2312" w:eastAsia="宋体" w:cs="仿宋_GB2312"/>
          <w:kern w:val="0"/>
          <w:sz w:val="28"/>
          <w:szCs w:val="28"/>
        </w:rPr>
        <w:t>證券公司可採用投資者最近一次風險承受能力評估結果，投資者的風險等級應不得低於“穩健型”，具體認定由證券公司結合客戶的實際情況進行判斷。</w:t>
      </w:r>
    </w:p>
    <w:p>
      <w:pPr>
        <w:ind w:firstLine="560" w:firstLineChars="200"/>
        <w:rPr>
          <w:rFonts w:ascii="仿宋_GB2312" w:eastAsia="仿宋_GB2312" w:cs="仿宋_GB2312"/>
          <w:sz w:val="28"/>
          <w:szCs w:val="28"/>
        </w:rPr>
      </w:pPr>
      <w:r>
        <w:rPr>
          <w:rFonts w:hint="eastAsia" w:ascii="仿宋_GB2312" w:eastAsia="宋体" w:cs="仿宋_GB2312"/>
          <w:kern w:val="0"/>
          <w:sz w:val="28"/>
          <w:szCs w:val="28"/>
        </w:rPr>
        <w:t>自有資產餘額指投資者託管在該證券公司的證券市值與資金帳戶可用餘額（不含通過融資融券交易融入的證券和資金）。其中，證券市值包括期權合約市值，計算方法為：期權合約市值=∑期權合約即時成交價或最新結算價×合約單位×合約張數×（±1）。當投資者持有權利倉時，期權合約市值計為正值；當投資者持有義務倉時，期權合約市值計為負值。</w:t>
      </w:r>
    </w:p>
    <w:p>
      <w:pPr>
        <w:ind w:firstLine="560" w:firstLineChars="200"/>
        <w:rPr>
          <w:rFonts w:ascii="仿宋_GB2312" w:eastAsia="仿宋_GB2312" w:cs="仿宋_GB2312"/>
          <w:sz w:val="28"/>
          <w:szCs w:val="28"/>
        </w:rPr>
      </w:pPr>
      <w:r>
        <w:rPr>
          <w:rFonts w:hint="eastAsia" w:ascii="仿宋_GB2312" w:eastAsia="宋体" w:cs="仿宋_GB2312"/>
          <w:sz w:val="28"/>
          <w:szCs w:val="28"/>
        </w:rPr>
        <w:t>（2）前6個月日均持有滬市證券市值的20%。</w:t>
      </w:r>
    </w:p>
    <w:p>
      <w:pPr>
        <w:ind w:firstLine="560" w:firstLineChars="200"/>
        <w:rPr>
          <w:rFonts w:ascii="仿宋_GB2312" w:eastAsia="仿宋_GB2312" w:cs="仿宋_GB2312"/>
          <w:sz w:val="28"/>
          <w:szCs w:val="28"/>
        </w:rPr>
      </w:pPr>
      <w:r>
        <w:rPr>
          <w:rFonts w:hint="eastAsia" w:ascii="仿宋_GB2312" w:eastAsia="宋体" w:cs="仿宋_GB2312"/>
          <w:sz w:val="28"/>
          <w:szCs w:val="28"/>
        </w:rPr>
        <w:t>買入金額上限由證券公司計算並予以前端控制。買入金額按萬取整, 如max{</w:t>
      </w:r>
      <w:r>
        <w:rPr>
          <w:rFonts w:hint="eastAsia" w:ascii="仿宋_GB2312" w:eastAsia="宋体"/>
          <w:sz w:val="28"/>
          <w:szCs w:val="28"/>
        </w:rPr>
        <w:t>自有資產餘額</w:t>
      </w:r>
      <w:r>
        <w:rPr>
          <w:rFonts w:hint="eastAsia" w:ascii="仿宋_GB2312" w:eastAsia="宋体" w:cs="仿宋_GB2312"/>
          <w:sz w:val="28"/>
          <w:szCs w:val="28"/>
        </w:rPr>
        <w:t>的10%，前6個月日均持有滬市證券市值的20%}=max{4.3萬，9.5萬}，應設為9萬。買入金額不足1萬的，設為1萬。</w:t>
      </w:r>
    </w:p>
    <w:p>
      <w:pPr>
        <w:ind w:firstLine="560" w:firstLineChars="200"/>
        <w:rPr>
          <w:rFonts w:ascii="仿宋_GB2312" w:eastAsia="仿宋_GB2312"/>
          <w:kern w:val="0"/>
          <w:sz w:val="28"/>
          <w:szCs w:val="28"/>
        </w:rPr>
      </w:pPr>
      <w:r>
        <w:rPr>
          <w:rFonts w:hint="eastAsia" w:ascii="仿宋_GB2312" w:eastAsia="宋体"/>
          <w:kern w:val="0"/>
          <w:sz w:val="28"/>
          <w:szCs w:val="28"/>
        </w:rPr>
        <w:t>證券公司前端控制參考演算法（對每筆買入開倉申報）：∑（該帳戶持有各合約權利倉持倉張數*持倉成本）+已申報買入開倉但未成交金額+該筆買入金額&gt;買入額度（由證券公司核定並向上交所報備的額度），則該筆申報無效。</w:t>
      </w:r>
    </w:p>
    <w:p>
      <w:pPr>
        <w:spacing w:before="156" w:after="156"/>
        <w:ind w:firstLine="562" w:firstLineChars="200"/>
        <w:rPr>
          <w:rFonts w:ascii="仿宋_GB2312" w:eastAsia="仿宋_GB2312"/>
          <w:kern w:val="0"/>
          <w:sz w:val="28"/>
          <w:szCs w:val="28"/>
        </w:rPr>
      </w:pPr>
      <w:r>
        <w:rPr>
          <w:rFonts w:hint="eastAsia" w:ascii="仿宋_GB2312" w:eastAsia="宋体"/>
          <w:b/>
          <w:bCs/>
          <w:kern w:val="0"/>
          <w:sz w:val="28"/>
          <w:szCs w:val="28"/>
        </w:rPr>
        <w:t>（二）限購額度調整</w:t>
      </w:r>
    </w:p>
    <w:p>
      <w:pPr>
        <w:spacing w:before="156" w:after="156"/>
        <w:ind w:firstLine="560" w:firstLineChars="200"/>
        <w:rPr>
          <w:rFonts w:ascii="仿宋_GB2312" w:eastAsia="仿宋_GB2312"/>
          <w:kern w:val="0"/>
          <w:sz w:val="28"/>
          <w:szCs w:val="28"/>
        </w:rPr>
      </w:pPr>
      <w:r>
        <w:rPr>
          <w:rFonts w:hint="eastAsia" w:ascii="仿宋_GB2312" w:eastAsia="宋体"/>
          <w:kern w:val="0"/>
          <w:sz w:val="28"/>
          <w:szCs w:val="28"/>
        </w:rPr>
        <w:t>1、證券公司日常應接受客戶提高或降低買入額度的申請，經審核通過後生效。</w:t>
      </w:r>
    </w:p>
    <w:p>
      <w:pPr>
        <w:spacing w:before="156" w:after="156"/>
        <w:ind w:firstLine="560" w:firstLineChars="200"/>
        <w:rPr>
          <w:rFonts w:ascii="仿宋_GB2312" w:eastAsia="仿宋_GB2312"/>
          <w:kern w:val="0"/>
          <w:sz w:val="28"/>
          <w:szCs w:val="28"/>
        </w:rPr>
      </w:pPr>
      <w:r>
        <w:rPr>
          <w:rFonts w:hint="eastAsia" w:ascii="仿宋_GB2312" w:eastAsia="宋体"/>
          <w:kern w:val="0"/>
          <w:sz w:val="28"/>
          <w:szCs w:val="28"/>
        </w:rPr>
        <w:t>2、證券公司可自行設定針對客戶買入額度的調整頻率，但每個自然年度至少調整一次。例如，2015年開戶的客戶（包括尚未調整和調整過買入額度的客戶），2016年度應至少調整一次，具體調整時間各期權經營機構可以自行確定。額度調整下一交易日生效，證券公司應及時提醒客戶額度變更情況。</w:t>
      </w:r>
    </w:p>
    <w:p>
      <w:pPr>
        <w:spacing w:before="156" w:after="156"/>
        <w:ind w:firstLine="560" w:firstLineChars="200"/>
        <w:rPr>
          <w:rFonts w:ascii="仿宋_GB2312" w:eastAsia="仿宋_GB2312"/>
          <w:kern w:val="0"/>
          <w:sz w:val="28"/>
          <w:szCs w:val="28"/>
        </w:rPr>
      </w:pPr>
      <w:r>
        <w:rPr>
          <w:rFonts w:hint="eastAsia" w:ascii="仿宋_GB2312" w:eastAsia="宋体"/>
          <w:kern w:val="0"/>
          <w:sz w:val="28"/>
          <w:szCs w:val="28"/>
        </w:rPr>
        <w:t>3、證券公司對客戶買入額度調整後,應按調整後的買入額度對客戶進行前端控制，如存在客戶買入持倉超過新核定買入額度或調整後的買入額度為零的,不需要求客戶進行平倉（對因額度調整導致的持倉超限需要技術系統進行區分）,該客戶現有持倉可以持有到期，但不能新增權利倉持倉。</w:t>
      </w:r>
    </w:p>
    <w:p>
      <w:pPr>
        <w:ind w:firstLine="560" w:firstLineChars="200"/>
        <w:rPr>
          <w:rFonts w:ascii="仿宋_GB2312" w:eastAsia="仿宋_GB2312" w:cs="仿宋_GB2312"/>
          <w:sz w:val="28"/>
          <w:szCs w:val="28"/>
        </w:rPr>
      </w:pPr>
      <w:r>
        <w:rPr>
          <w:rFonts w:hint="eastAsia" w:ascii="仿宋_GB2312" w:eastAsia="宋体"/>
          <w:kern w:val="0"/>
          <w:sz w:val="28"/>
          <w:szCs w:val="28"/>
        </w:rPr>
        <w:t>4、</w:t>
      </w:r>
      <w:r>
        <w:rPr>
          <w:rFonts w:hint="eastAsia" w:ascii="仿宋_GB2312" w:eastAsia="宋体" w:cs="仿宋_GB2312"/>
          <w:sz w:val="28"/>
          <w:szCs w:val="28"/>
        </w:rPr>
        <w:t>對於存在頻繁強平記錄和交易違規情況的客戶，證券公司可調低限購額度，調整後證券公司應及時告知客戶。</w:t>
      </w:r>
    </w:p>
    <w:p>
      <w:pPr>
        <w:ind w:firstLine="560" w:firstLineChars="200"/>
        <w:rPr>
          <w:rFonts w:ascii="仿宋_GB2312" w:eastAsia="仿宋_GB2312" w:cs="仿宋_GB2312"/>
          <w:sz w:val="28"/>
          <w:szCs w:val="28"/>
        </w:rPr>
      </w:pPr>
      <w:r>
        <w:rPr>
          <w:rFonts w:hint="eastAsia" w:ascii="仿宋_GB2312" w:eastAsia="宋体" w:cs="仿宋_GB2312"/>
          <w:sz w:val="28"/>
          <w:szCs w:val="28"/>
        </w:rPr>
        <w:t>5、如本所進行限購額度調整，證券公司鬚根據本所最新標準，結合公司限購額度計算方法，對客戶限購額度進行統一調整。調整後證券公司應及時向客戶公佈調整資訊。</w:t>
      </w:r>
    </w:p>
    <w:p>
      <w:pPr>
        <w:spacing w:before="156" w:after="156"/>
        <w:ind w:firstLine="560" w:firstLineChars="200"/>
        <w:rPr>
          <w:rFonts w:ascii="仿宋_GB2312" w:eastAsia="仿宋_GB2312"/>
          <w:sz w:val="28"/>
          <w:szCs w:val="28"/>
        </w:rPr>
      </w:pPr>
    </w:p>
    <w:p>
      <w:pPr>
        <w:pStyle w:val="2"/>
        <w:jc w:val="center"/>
        <w:rPr>
          <w:rFonts w:ascii="黑体" w:hAnsi="黑体" w:eastAsia="黑体"/>
          <w:kern w:val="2"/>
          <w:sz w:val="32"/>
          <w:szCs w:val="32"/>
        </w:rPr>
      </w:pPr>
      <w:bookmarkStart w:id="213" w:name="_Toc14061"/>
      <w:bookmarkStart w:id="214" w:name="_Toc12179"/>
      <w:bookmarkStart w:id="215" w:name="_Toc22412"/>
      <w:bookmarkStart w:id="216" w:name="保证金管理"/>
      <w:bookmarkStart w:id="217" w:name="_Toc452017018"/>
      <w:bookmarkStart w:id="218" w:name="_Toc23947152"/>
      <w:r>
        <w:rPr>
          <w:rFonts w:hint="eastAsia" w:ascii="黑体" w:hAnsi="黑体" w:eastAsia="宋体"/>
          <w:kern w:val="2"/>
          <w:sz w:val="32"/>
          <w:szCs w:val="32"/>
        </w:rPr>
        <w:t>第六章 保證金管理</w:t>
      </w:r>
      <w:bookmarkEnd w:id="213"/>
      <w:bookmarkEnd w:id="214"/>
      <w:bookmarkEnd w:id="215"/>
      <w:bookmarkEnd w:id="216"/>
      <w:bookmarkEnd w:id="217"/>
      <w:bookmarkEnd w:id="218"/>
    </w:p>
    <w:p>
      <w:pPr>
        <w:spacing w:beforeLines="50" w:afterLines="50"/>
        <w:ind w:firstLine="506" w:firstLineChars="180"/>
        <w:outlineLvl w:val="1"/>
        <w:rPr>
          <w:rFonts w:ascii="仿宋_GB2312" w:eastAsia="仿宋_GB2312"/>
          <w:b/>
          <w:sz w:val="28"/>
          <w:szCs w:val="28"/>
        </w:rPr>
      </w:pPr>
      <w:bookmarkStart w:id="219" w:name="_Toc408665037"/>
      <w:bookmarkStart w:id="220" w:name="_Toc27643"/>
      <w:bookmarkStart w:id="221" w:name="_Toc12844"/>
      <w:bookmarkStart w:id="222" w:name="_Toc618"/>
      <w:bookmarkStart w:id="223" w:name="_Toc452017019"/>
      <w:bookmarkStart w:id="224" w:name="_Toc23947153"/>
      <w:r>
        <w:rPr>
          <w:rFonts w:hint="eastAsia" w:ascii="仿宋_GB2312" w:eastAsia="宋体"/>
          <w:b/>
          <w:sz w:val="28"/>
          <w:szCs w:val="28"/>
        </w:rPr>
        <w:t>一、</w:t>
      </w:r>
      <w:bookmarkStart w:id="225" w:name="客户保证金管理"/>
      <w:r>
        <w:rPr>
          <w:rFonts w:hint="eastAsia" w:ascii="仿宋_GB2312" w:eastAsia="宋体"/>
          <w:b/>
          <w:sz w:val="28"/>
          <w:szCs w:val="28"/>
        </w:rPr>
        <w:t>客戶保證金管理</w:t>
      </w:r>
      <w:bookmarkEnd w:id="219"/>
      <w:bookmarkEnd w:id="220"/>
      <w:bookmarkEnd w:id="221"/>
      <w:bookmarkEnd w:id="222"/>
      <w:bookmarkEnd w:id="223"/>
      <w:bookmarkEnd w:id="224"/>
      <w:bookmarkEnd w:id="225"/>
    </w:p>
    <w:p>
      <w:pPr>
        <w:spacing w:beforeLines="50" w:afterLines="50"/>
        <w:ind w:firstLine="506" w:firstLineChars="180"/>
        <w:rPr>
          <w:rFonts w:ascii="仿宋_GB2312" w:eastAsia="仿宋_GB2312"/>
          <w:b/>
          <w:bCs/>
          <w:sz w:val="28"/>
          <w:szCs w:val="28"/>
        </w:rPr>
      </w:pPr>
      <w:r>
        <w:rPr>
          <w:rFonts w:hint="eastAsia" w:ascii="仿宋_GB2312" w:eastAsia="宋体"/>
          <w:b/>
          <w:bCs/>
          <w:sz w:val="28"/>
          <w:szCs w:val="28"/>
        </w:rPr>
        <w:t>（一）保證金水準</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證券公司可按線性、非線性、組合策略或其他可有效控制保證金水準的方式向單個客戶收取保證金，可針對不同客戶設定不同的保證金水準,但不低於</w:t>
      </w:r>
      <w:r>
        <w:rPr>
          <w:rFonts w:hint="eastAsia" w:ascii="仿宋_GB2312" w:eastAsia="宋体" w:cs="仿宋_GB2312"/>
          <w:sz w:val="28"/>
          <w:szCs w:val="28"/>
        </w:rPr>
        <w:t>《風控辦法》</w:t>
      </w:r>
      <w:r>
        <w:rPr>
          <w:rFonts w:hint="eastAsia" w:ascii="仿宋_GB2312" w:eastAsia="宋体"/>
          <w:sz w:val="28"/>
          <w:szCs w:val="28"/>
        </w:rPr>
        <w:t>要求的水準，即所司保證金標準。證券公司對於客戶認沽期權賣出開倉時所收取的保證金最高不應超過行權價與合約單位的乘積。</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收取方法舉例一：</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保證金線性收取方式：在所司保證金標準的基礎上整體設置收取比例。假如證券公司設置了20%的上浮比例，那麼每張ETF認購期權維持保證金={結算價+Max（12%×合約標的收盤價-認購期權虛值，7%×標的收盤價）}*合約單位*1.2。</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收取方法舉例二：</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保證金非線性收取方式：調整《風控辦法》保證金收取公式裏的個別或所有參數。假如證券公司將按合約標的收盤價的12%調整為15%，那麼每張ETF認購期權維持保證金={結算價+Max（15%×合約標的收盤價-認購期權虛值，7%×標的收盤價）}*合約單位。</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收取方法舉例三：</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組合策略收取方式：按照組合策略收取保證金的，證券公司為客戶減免收取的保證金金額不高於交易所減免收取的金額。</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證券公司可按其與客戶在經紀業務合同中的約定，在臨近組合策略自動解除日，提前按照解除組合後應收保證金水準收取維持保證金或提前解除組合。</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證券公司按線性、非線性、組合策略或其他可有效控制確定的保證金水準時，在參數設置或調整時需要重點考慮以下幾點因素：</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1、可結合義務倉合約虛值或實值程度設置不同參數，使得深度虛值、輕度虛值、輕度實值和深度實值等不同狀態的合約所收保證金的參數配置不一致；</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2、臨近行權日的參數調整；</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3、臨近較長節假日的參數調整；</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4、市場出現異常情況時的參數調整;</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5、針對不同客戶設定差異化參數；</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6、根據風險壓力測試或相關風險評估結果及時進行調整等。</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虛值程度公式如下：</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認購期權虛值程度=（認購期權合約行權價-標的證券收盤價）/標的證券收盤價</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認沽期權虛值程度=（標的證券收盤價-認沽期權合約行權價）/標的證券收盤價</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盤中監控取標的證券前收盤價，盤後監控取標的證券當日收盤價。上述計算結果為負值時，該期權為實值期權，實值程度為該計算結果的絕對值。</w:t>
      </w:r>
    </w:p>
    <w:p>
      <w:pPr>
        <w:ind w:firstLine="560" w:firstLineChars="200"/>
        <w:rPr>
          <w:rFonts w:ascii="仿宋_GB2312" w:eastAsia="仿宋_GB2312"/>
          <w:sz w:val="28"/>
          <w:szCs w:val="28"/>
        </w:rPr>
      </w:pPr>
      <w:r>
        <w:rPr>
          <w:rFonts w:hint="eastAsia" w:ascii="仿宋_GB2312" w:eastAsia="宋体"/>
          <w:sz w:val="28"/>
          <w:szCs w:val="28"/>
        </w:rPr>
        <w:t>虛值程度和實值程度的參數配置可以由證券公司自行定義。如對ETF期權，輕度虛值可設置為：認購或認沽期權虛值程度4%-8%，深度虛值可設置為：認購或認沽期權虛值程度&gt;=8%。亦可用其他方法定義虛值程度和實值程度。</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證券公司應在投資者簽署開戶協議時，向客戶明確可能導致保證金參數水準調整的情形。若證券公司調整保證金水準參數設置，應當通過郵件、短信、交易客戶端等管道做好通知提醒工作。</w:t>
      </w:r>
    </w:p>
    <w:p>
      <w:pPr>
        <w:spacing w:beforeLines="50" w:afterLines="50"/>
        <w:ind w:firstLine="562" w:firstLineChars="200"/>
        <w:rPr>
          <w:rFonts w:ascii="仿宋_GB2312" w:eastAsia="仿宋_GB2312"/>
          <w:sz w:val="28"/>
          <w:szCs w:val="28"/>
        </w:rPr>
      </w:pPr>
      <w:r>
        <w:rPr>
          <w:rFonts w:hint="eastAsia" w:ascii="仿宋_GB2312" w:eastAsia="宋体"/>
          <w:b/>
          <w:bCs/>
          <w:sz w:val="28"/>
          <w:szCs w:val="28"/>
        </w:rPr>
        <w:t>（二）保證金收取</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1、盤中開倉保證金收取</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對同一期權合約，投資者可在交易時段（9：15-15：00）雙向持倉（可同時持有權利倉與義務倉），</w:t>
      </w:r>
      <w:r>
        <w:rPr>
          <w:rFonts w:hint="eastAsia" w:ascii="仿宋_GB2312" w:eastAsia="宋体" w:cs="仿宋_GB2312"/>
          <w:sz w:val="28"/>
          <w:szCs w:val="28"/>
        </w:rPr>
        <w:t>上交所</w:t>
      </w:r>
      <w:r>
        <w:rPr>
          <w:rFonts w:hint="eastAsia" w:ascii="仿宋_GB2312" w:eastAsia="宋体"/>
          <w:sz w:val="28"/>
          <w:szCs w:val="28"/>
        </w:rPr>
        <w:t>對賣出認購或者認沽期權時按開倉保證金水準計減結算參與人保證金日間餘額，證券公司對客戶賣出認購或者認沽期權時按開倉保證金水準扣減客戶</w:t>
      </w:r>
      <w:r>
        <w:rPr>
          <w:rFonts w:hint="eastAsia" w:ascii="仿宋_GB2312" w:eastAsia="宋体" w:cs="仿宋_GB2312"/>
          <w:sz w:val="28"/>
          <w:szCs w:val="28"/>
        </w:rPr>
        <w:t>保證金可用餘額</w:t>
      </w:r>
      <w:r>
        <w:rPr>
          <w:rFonts w:hint="eastAsia" w:ascii="仿宋_GB2312" w:eastAsia="宋体"/>
          <w:sz w:val="28"/>
          <w:szCs w:val="28"/>
        </w:rPr>
        <w:t>，不能因可構建組合策略或日終時可與權利倉對沖而免收或少收。</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構建組合策略的，上交所對構建組合策略申報確認後，即時增加相應結算參與人保證金日間餘額，證券公司即時增加客戶保證金可用餘額。</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2、盤後維持保證金收取</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日終時由</w:t>
      </w:r>
      <w:r>
        <w:rPr>
          <w:rFonts w:hint="eastAsia" w:ascii="仿宋_GB2312" w:eastAsia="宋体" w:cs="仿宋_GB2312"/>
          <w:sz w:val="28"/>
          <w:szCs w:val="28"/>
        </w:rPr>
        <w:t>上交所</w:t>
      </w:r>
      <w:r>
        <w:rPr>
          <w:rFonts w:hint="eastAsia" w:ascii="仿宋_GB2312" w:eastAsia="宋体"/>
          <w:sz w:val="28"/>
          <w:szCs w:val="28"/>
        </w:rPr>
        <w:t>和中國結算對同一帳戶同一合約雙向持倉</w:t>
      </w:r>
      <w:r>
        <w:rPr>
          <w:rFonts w:hint="eastAsia" w:ascii="仿宋_GB2312" w:eastAsia="宋体"/>
          <w:kern w:val="0"/>
          <w:sz w:val="28"/>
          <w:szCs w:val="28"/>
          <w:lang w:val="zh-CN"/>
        </w:rPr>
        <w:t>數量</w:t>
      </w:r>
      <w:r>
        <w:rPr>
          <w:rFonts w:hint="eastAsia" w:ascii="仿宋_GB2312" w:eastAsia="宋体"/>
          <w:sz w:val="28"/>
          <w:szCs w:val="28"/>
        </w:rPr>
        <w:t>自動進行對沖（取淨頭寸，優先對沖非備兌義務倉），調整為單向持倉。中國結算按對沖後的單向持倉及組合策略持倉進行結算參與人維持保證金計收，證券公司按對沖後的單向持倉及組合策略持倉進行客戶維持保證金計收。</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3、臨近組合策略自動解除日保證金收取</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構建組合策略的，證券公司可按其與客戶在經紀業務合同中的約定，在臨近組合策略自動解除日，提前按照解除組合後應收保證金水準，收取維持保證金。</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4、到期被指派合約保證金收取</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結算參與人層面，行權日日終，中國結算對於期權合約被指派的義務方按當日結算價格重新計收維持保證金，未被指派的合約不再收取維持保證金。交收日日終，中國結算按“結算參與人股票期權保證金帳戶內的結算準備金餘額/（行權交收資金-被行權合約對應的維持保證金）”的比例釋放被行權合約維持保證金用於交收。</w:t>
      </w:r>
    </w:p>
    <w:p>
      <w:pPr>
        <w:spacing w:beforeLines="50" w:afterLines="50"/>
        <w:ind w:firstLine="523" w:firstLineChars="187"/>
        <w:rPr>
          <w:rFonts w:ascii="仿宋_GB2312" w:eastAsia="仿宋_GB2312"/>
          <w:sz w:val="28"/>
          <w:szCs w:val="28"/>
        </w:rPr>
      </w:pPr>
      <w:r>
        <w:rPr>
          <w:rFonts w:hint="eastAsia" w:ascii="仿宋_GB2312" w:eastAsia="宋体"/>
          <w:sz w:val="28"/>
          <w:szCs w:val="28"/>
        </w:rPr>
        <w:t>證券公司客戶層面，行權日日終，對單個客戶，如客戶是淨應收券或應收資金，證券公司不凍結資金；如客戶是淨應付券，證券公司可以根據與客戶在期權經紀合同中的約定，凍結相應合約標的，不足部分可以採取凍結股票期權保證金帳戶部分資金方式（如合約標的收盤價*10%或能覆蓋假設客戶違約時現金結算的資金）；如客戶是應付資金，證券公司可以根據與客戶在期權經紀合同中的約定，凍結相應資金。</w:t>
      </w:r>
    </w:p>
    <w:p>
      <w:pPr>
        <w:spacing w:beforeLines="50" w:afterLines="50"/>
        <w:ind w:left="105" w:leftChars="50" w:firstLine="420" w:firstLineChars="150"/>
        <w:rPr>
          <w:rFonts w:ascii="仿宋_GB2312" w:eastAsia="仿宋_GB2312"/>
          <w:sz w:val="28"/>
          <w:szCs w:val="28"/>
        </w:rPr>
      </w:pPr>
      <w:r>
        <w:rPr>
          <w:rFonts w:hint="eastAsia" w:ascii="仿宋_GB2312" w:eastAsia="宋体"/>
          <w:sz w:val="28"/>
          <w:szCs w:val="28"/>
        </w:rPr>
        <w:t>5、除權除息日保證金收取</w:t>
      </w:r>
    </w:p>
    <w:p>
      <w:pPr>
        <w:spacing w:beforeLines="50" w:afterLines="50"/>
        <w:ind w:left="105" w:leftChars="50" w:firstLine="420" w:firstLineChars="150"/>
        <w:rPr>
          <w:rFonts w:ascii="仿宋_GB2312" w:eastAsia="仿宋_GB2312"/>
          <w:sz w:val="28"/>
          <w:szCs w:val="28"/>
        </w:rPr>
      </w:pPr>
      <w:r>
        <w:rPr>
          <w:rFonts w:hint="eastAsia" w:ascii="仿宋_GB2312" w:eastAsia="宋体"/>
          <w:sz w:val="28"/>
          <w:szCs w:val="28"/>
        </w:rPr>
        <w:t>除權除息日，上交所依據合約調整後的合約單位計增或計減證券公司的可用保證金額度。而上一交易日日終，中國結算向結算會員按合約調整前的合約單位收取維持保證金。因此，對原有義務倉持倉平倉，釋放的保證金金額會與上一交易日日終計算的維持保證金不一致，存在一些誤差（由合約單位取整引起，但單張合約金額誤差不大）。</w:t>
      </w:r>
    </w:p>
    <w:p>
      <w:pPr>
        <w:spacing w:beforeLines="50" w:afterLines="50"/>
        <w:ind w:left="105" w:leftChars="50" w:firstLine="420" w:firstLineChars="150"/>
        <w:rPr>
          <w:rFonts w:ascii="仿宋_GB2312" w:eastAsia="仿宋_GB2312"/>
          <w:sz w:val="28"/>
          <w:szCs w:val="28"/>
        </w:rPr>
      </w:pPr>
      <w:r>
        <w:rPr>
          <w:rFonts w:hint="eastAsia" w:ascii="仿宋_GB2312" w:eastAsia="宋体"/>
          <w:sz w:val="28"/>
          <w:szCs w:val="28"/>
        </w:rPr>
        <w:t>除權除息日，如果出現上述不一致，證券公司應加強對保證金的管理。同時，如果證券公司對客戶保證金方式亦存在此問題，當日應及時向客戶提醒或解釋，並加強對客戶保證金管理（可用資金或出金會有誤差）。</w:t>
      </w:r>
    </w:p>
    <w:p>
      <w:pPr>
        <w:spacing w:beforeLines="50" w:afterLines="50"/>
        <w:ind w:firstLine="562" w:firstLineChars="200"/>
        <w:rPr>
          <w:rFonts w:ascii="仿宋_GB2312" w:eastAsia="仿宋_GB2312"/>
          <w:b/>
          <w:bCs/>
          <w:sz w:val="28"/>
          <w:szCs w:val="28"/>
        </w:rPr>
      </w:pPr>
      <w:r>
        <w:rPr>
          <w:rFonts w:hint="eastAsia" w:ascii="仿宋_GB2312" w:eastAsia="宋体"/>
          <w:b/>
          <w:bCs/>
          <w:sz w:val="28"/>
          <w:szCs w:val="28"/>
        </w:rPr>
        <w:t>（三）保證金監控</w:t>
      </w:r>
    </w:p>
    <w:p>
      <w:pPr>
        <w:pStyle w:val="8"/>
        <w:widowControl/>
        <w:adjustRightInd/>
        <w:snapToGrid/>
        <w:spacing w:beforeLines="0" w:afterLines="0" w:line="240" w:lineRule="auto"/>
        <w:ind w:firstLine="560"/>
        <w:jc w:val="left"/>
        <w:rPr>
          <w:rFonts w:ascii="仿宋_GB2312" w:eastAsia="仿宋_GB2312"/>
          <w:sz w:val="28"/>
          <w:szCs w:val="28"/>
        </w:rPr>
      </w:pPr>
      <w:r>
        <w:rPr>
          <w:rFonts w:hint="eastAsia" w:ascii="仿宋_GB2312" w:eastAsia="宋体"/>
          <w:sz w:val="28"/>
          <w:szCs w:val="28"/>
        </w:rPr>
        <w:t>1、即時盯市（盤中試算）</w:t>
      </w:r>
    </w:p>
    <w:p>
      <w:pPr>
        <w:pStyle w:val="8"/>
        <w:widowControl/>
        <w:adjustRightInd/>
        <w:snapToGrid/>
        <w:spacing w:beforeLines="0" w:afterLines="0" w:line="240" w:lineRule="auto"/>
        <w:ind w:firstLine="560"/>
        <w:jc w:val="left"/>
        <w:rPr>
          <w:rFonts w:ascii="仿宋_GB2312" w:eastAsia="仿宋_GB2312"/>
          <w:sz w:val="28"/>
          <w:szCs w:val="28"/>
        </w:rPr>
      </w:pPr>
      <w:r>
        <w:rPr>
          <w:rFonts w:hint="eastAsia" w:ascii="仿宋_GB2312" w:eastAsia="宋体"/>
          <w:sz w:val="28"/>
          <w:szCs w:val="28"/>
        </w:rPr>
        <w:t>區別於上述開倉保證金和維持保證金，證券公司在客戶保證金監控時，需增加對合約標的或期權合約交易價格變動帶來的保證金變化的監控。</w:t>
      </w:r>
    </w:p>
    <w:p>
      <w:pPr>
        <w:pStyle w:val="8"/>
        <w:widowControl/>
        <w:adjustRightInd/>
        <w:snapToGrid/>
        <w:spacing w:beforeLines="0" w:afterLines="0" w:line="240" w:lineRule="auto"/>
        <w:ind w:firstLine="560"/>
        <w:jc w:val="left"/>
        <w:rPr>
          <w:rFonts w:ascii="仿宋_GB2312" w:eastAsia="仿宋_GB2312"/>
          <w:sz w:val="28"/>
          <w:szCs w:val="28"/>
        </w:rPr>
      </w:pPr>
      <w:r>
        <w:rPr>
          <w:rFonts w:hint="eastAsia" w:ascii="仿宋_GB2312" w:eastAsia="宋体"/>
          <w:sz w:val="28"/>
          <w:szCs w:val="28"/>
        </w:rPr>
        <w:t>根據最新價格即時計算的客戶持有某期權合約的即時價格保證金是指，客戶持有該同一期權合約義務倉和權利倉對沖後剩餘義務倉，按合約標的最新成交價格和期權合約最新成交價（如當日無成交，則取前結算價），根據證券公司設置的保證金水準計算的保證金。按照組合策略收取保證金的，若計算組合保證金的公式中包含期權合約或標的價格，也需要按照最新成交價進行計算。 計算即時價格保證金時，組合策略持倉不參與同一期權合約義務倉和權利倉的對沖。</w:t>
      </w:r>
    </w:p>
    <w:p>
      <w:pPr>
        <w:pStyle w:val="8"/>
        <w:widowControl/>
        <w:adjustRightInd/>
        <w:snapToGrid/>
        <w:spacing w:beforeLines="0" w:afterLines="0" w:line="240" w:lineRule="auto"/>
        <w:ind w:firstLine="560"/>
        <w:jc w:val="left"/>
        <w:rPr>
          <w:rFonts w:ascii="仿宋_GB2312" w:eastAsia="仿宋_GB2312"/>
          <w:sz w:val="28"/>
          <w:szCs w:val="28"/>
        </w:rPr>
      </w:pPr>
      <w:r>
        <w:rPr>
          <w:rFonts w:hint="eastAsia" w:ascii="仿宋_GB2312" w:eastAsia="宋体"/>
          <w:sz w:val="28"/>
          <w:szCs w:val="28"/>
        </w:rPr>
        <w:t>證券公司應按最新價格計算各客戶持有各合約所需保證金金額，監控其是否足額及變化情況。</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2、盤中平倉和追保的即時監控</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（1）客戶即時風險值</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證券公司應監控客戶即時價格保證金占其保證金總額的情況，建議設立監控指標：</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客戶即時風險值1=按照公司保證金水準計算的客戶即時價格保證金/該客戶保證金總額（扣除行權待交收等凍結的資金後）。</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客戶即時風險值2=按照所司保證金水準計算的客戶即時價格保證金/該客戶保證金總額（扣除行權待交收等凍結的資金後）。</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比如針對客戶保證金收取按所司保證金標準整體上浮20%的證券公司，盤中客戶ETF認購期權按照公司保證金水準計算的即時價格保證金={合約最近成交價+Max（12%×合約標的最新價-認購期權虛值，7%×合約標的最新價）}×合約單位×1.2。</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客戶保證金總額為客戶股票期權保證金帳戶用於衍生品交易的資金總額，根據出入金、成交進行即時增減。</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行權待交收凍結的資金為行權日或交收日，客戶因行權或被指派應付券或應付款而被凍結的資金。</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若客戶即時風險值1和客戶即時風險值2的分母出現負數，指標均為100%（證券公司可以自行設置其他數值）；如分母為0，當客戶即時價格保證金&gt;0時，指標為100%，當客戶即時價格保證金=0時，指標為0。客戶即時風險值1和客戶即時風險值2的分母“該客戶保證金總額（扣除行權待交收凍結的資金後）”包括了申報未成交凍結的資金。</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亦可增設監控指標，例如增設客戶即時風險值3=按照公司保證金水準計算的客戶即時價格保證金/[該客戶保證金總額（扣除行權待交收凍結的資金後）-申報未成交凍結的資金]。當客戶即時風險值3達到證券公司設置的閥值時，證券公司可以及時提醒客戶撤單或追加保證金。</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證券公司亦可按（客戶即時價格保證金+行權待交收凍結的資金）/該客戶保證金總額設計客戶即時風險值，監控閥值自行定義。</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（2）三條監控線</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建議證券公司與客戶在期權經紀合同中約定，對客戶即時風險值設置公司盤中追保線、公司盤中平倉線、即時處置線。其中：</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公司盤中追保線：監控客戶即時風險值1，盤中追保線低於公司盤中平倉線（具體值證券公司自定）。比如盤中追保線為90%，當盤中客戶即時風險值1高於盤中追保線時，證券公司可以向客戶發追保通知，並同時可以限制該客戶新開倉。</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公司盤中平倉線：客戶即時風險值1達到100%時，觸發公司盤中平倉線。當盤中客戶即時風險值1高於公司盤中平倉線時，證券公司應及時通知客戶（如上一交易日日終維持保證金已不足，並已發出強行平倉通知書，可不再通知），證券公司可在當日或者下一交易日規定時間對客戶進行強行平倉。</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即時處置線：客戶即時風險值2達到100%時，觸發即時處置線。當盤中客戶即時風險值2高於即時處置線時，證券公司可以選擇即時對客戶進行強行平倉，直至客戶即時風險值1處於公司盤中平倉線或追保線以下（具體由</w:t>
      </w:r>
      <w:r>
        <w:rPr>
          <w:rFonts w:hint="eastAsia" w:ascii="仿宋_GB2312" w:eastAsia="宋体"/>
          <w:color w:val="000000"/>
          <w:sz w:val="28"/>
          <w:szCs w:val="28"/>
        </w:rPr>
        <w:t>證券公司</w:t>
      </w:r>
      <w:r>
        <w:rPr>
          <w:rFonts w:hint="eastAsia" w:ascii="仿宋_GB2312" w:eastAsia="宋体"/>
          <w:sz w:val="28"/>
          <w:szCs w:val="28"/>
        </w:rPr>
        <w:t>與客戶約定為准）。不做即時平倉的證券公司，可以在與客戶約定的時間（如14:30）統一發起當天客戶的強行平倉或選擇不強行平倉，但應做好相應的資金管理安排，提前準備好自有資金，履行日終對中國結算的結算義務。</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對於持有組合策略的情況，證券公司可按其與客戶在經紀業務合同中的約定，在組合策略自動解除前，根據客戶即時風險值進行追保和處置。</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3、提取現金的計算</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（1）客戶佔用未對沖保證金</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客戶佔用未對衝開倉保證金：按照開倉保證金公式並按公司設定的收取水準計算的，以合約標的前收盤價和合約前結算價計算且為客戶已成交和已申報開倉未成交的ETF期權義務倉合約（對雙向持倉不進行對沖）所佔用的保證金。</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客戶佔用未對沖即時價格保證金：按照開倉保證金公式並按公司設定的收取水準計算的，以合約標的最新價和合約最新價計算且為客戶已成交和已申報開倉未成交的ETF期權義務倉合約（對雙向持倉不進行對沖）所佔用的保證金。</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（2）客戶可取現值</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應根據自身風險管理與資金管理情況，在期權經紀合同中與客戶約定客戶取現的計算方法，計算方法及結果需要明確告知客戶，可參考以下原則：當日權利金淨收入不可提取、當日平倉釋放資金保證金可提取等（具體以與客戶約定為准）。計算方法舉例如下：</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可取資金=上一日日終結算後資金保證金總額（或當日期初資金保證金總額）+當日入金-當日出金-手續費+當日權利金收入-當日權利金支出 -[ max（客戶佔用未對沖即時價格保證金，客戶佔用未對衝開倉保證金）/提取線] - max(當日權利金收入-當日權利金支出，0）-  行權待交收凍結資金 - 其他相關凍結資金。</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 xml:space="preserve">（3）提取線：設定一個比例（即提取線，不高於盤中追保線，由證券公司自行設定），客戶未對沖即時價格保證金加行權待交收凍結資金及其他相關凍結資金占其保證金總額高於或等於該比例時，不可提取現金；低於該比例時且符合其他約定條件時，可提取現金。現金提取後，客戶未對沖即時價格保證金加行權待交收凍結資金及其他相關凍結資金占其保證金總額不得高於該比例。    </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證券公司也可以不設置提取線，客戶可取現值可以按扣除最大佔用保證金及相關凍結資金後的可用餘額計算，但應考慮避免當日日終出現維持保證金不足的情況。</w:t>
      </w:r>
    </w:p>
    <w:p>
      <w:pPr>
        <w:spacing w:beforeLines="50" w:afterLines="50"/>
        <w:ind w:firstLine="506" w:firstLineChars="180"/>
        <w:rPr>
          <w:rFonts w:ascii="仿宋_GB2312" w:eastAsia="仿宋_GB2312"/>
          <w:b/>
          <w:bCs/>
          <w:sz w:val="28"/>
          <w:szCs w:val="28"/>
        </w:rPr>
      </w:pPr>
      <w:r>
        <w:rPr>
          <w:rFonts w:hint="eastAsia" w:ascii="仿宋_GB2312" w:eastAsia="宋体"/>
          <w:b/>
          <w:bCs/>
          <w:sz w:val="28"/>
          <w:szCs w:val="28"/>
        </w:rPr>
        <w:t>（四）逐日盯市</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1、客戶維持保證金監控</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客戶維持保證金1：按照公司保證金水準計算的維持保證金（持倉日終自動對沖後收取的保證金）。</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比如針對客戶保證金收取按</w:t>
      </w:r>
      <w:r>
        <w:rPr>
          <w:rFonts w:hint="eastAsia" w:ascii="仿宋_GB2312" w:eastAsia="宋体" w:cs="仿宋_GB2312"/>
          <w:sz w:val="28"/>
          <w:szCs w:val="28"/>
        </w:rPr>
        <w:t>上交所</w:t>
      </w:r>
      <w:r>
        <w:rPr>
          <w:rFonts w:hint="eastAsia" w:ascii="仿宋_GB2312" w:eastAsia="宋体"/>
          <w:sz w:val="28"/>
          <w:szCs w:val="28"/>
        </w:rPr>
        <w:t>標準整體上浮20%的證券公司，收盤後客戶ETF認購期權維持保證金1={結算價+Max（12%×合約標的收盤價-認購期權虛值，7%×合約標的收盤價）}×合約單位×1.2。</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客戶維持保證金2：按照所司保證金標準計算的維持保證金（（持倉日終自動對沖後收取的保證金））。</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收盤後客戶ETF認購期權維持保證金2={結算價+Max（12%×合約標的收盤價-認購期權虛值，7%×合約標的收盤價）}×合約單位。</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2、客戶維持保證金比例1與客戶維持保證金比例2</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證券公司應在日終對客戶保證金進行逐日盯市，建議設立監控指標：</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客戶維持保證金比例1=客戶維持保證金1/該客戶保證金總額（扣除行權待交收凍結的資金後）。</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客戶維持保證金比例2=客戶維持保證金2/該客戶保證金總額（扣除行權待交收凍結的資金後）。</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3、三條監控線</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建議證券公司與客戶在期權經紀合同中約定，針對客戶維持保證金比例1和客戶維持保證金比例2設置公司盤後平倉線、公司盤後追保線和交易所平倉線。其中：</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公司盤後平倉線：客戶維持保證金比例1為100%。當盤後客戶維持保證金比例1高於公司盤後平倉線時，公司應及時向客戶發送強行平倉通知，並通知客戶在下一交易日規定時間（比如14:30）以前補足保證金或自行平倉；若客戶未在規定時間內補足保證金或自行平倉，證券公司應在下一交易日規定時間（比如14：30）開始對客戶實施強行平倉。並告知，如下一交易日盤中進一步達到即時處置線時，證券公司可以選擇即時對客戶進行強行平倉。</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公司盤後追保線：監控客戶維持保證金比例1，盤後追保線低於公司盤後平倉線（具體值證券公司自定）。比如盤後追保線為90%，當客戶維持保證金比例1高於盤後追保線時，證券公司應及時向客戶發追保通知，並同時可以限制該客戶新開倉。</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交易所平倉線：客戶維持保證金比例2為100%。當盤後客戶維持保證金比例2高於交易所平倉線時，公司應及時向客戶發送強行平倉通知，並在下一交易日開盤後儘快對客戶實施強行平倉。當日日終，需要證券公司用自有資金補足，確保日終客戶維持保證金不低於按《風控辦法》規定的保證金水準，不得挪用其他客戶保證金。</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對於持有組合策略的情況，證券公司可按其與客戶在經紀業務合同中的約定，在組合策略自動解除前，根據客戶維持保證金比例進行追保或強平通知。</w:t>
      </w:r>
    </w:p>
    <w:p>
      <w:pPr>
        <w:spacing w:beforeLines="50" w:afterLines="50"/>
        <w:ind w:firstLine="506" w:firstLineChars="180"/>
        <w:rPr>
          <w:rFonts w:ascii="仿宋_GB2312" w:eastAsia="仿宋_GB2312"/>
          <w:b/>
          <w:bCs/>
          <w:sz w:val="28"/>
          <w:szCs w:val="28"/>
        </w:rPr>
      </w:pPr>
      <w:r>
        <w:rPr>
          <w:rFonts w:hint="eastAsia" w:ascii="仿宋_GB2312" w:eastAsia="宋体"/>
          <w:b/>
          <w:bCs/>
          <w:sz w:val="28"/>
          <w:szCs w:val="28"/>
        </w:rPr>
        <w:t>（五）其他</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1、保證金通知郵箱</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證券公司可向與客戶約定的客戶專門郵箱或其融資融券業務郵箱，發送追保、強平等各類通知，並存檔留痕。證券公司可在期權經紀合同中列明並告知客戶。</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2、壓力測試</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證券公司應對客戶保證金進行壓力測試，包括對客戶保證金進行特定品種、特定價格、特定情景的壓力測試等。</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盤中應重視對一定程度虛值期權合約及臨近自動解除日組合策略的即時監控。當合約標的價格發生較大變化、所持合約虛值程度發生較大變化或從虛值轉為平值、組合策略臨近自動解除日時，證券公司應對該情況下客戶保證金變化進行壓力測試或進行評估，以應對客戶保證金大量不足的情形。</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3、證券公司可建立保證金分級管理與收取辦法。一方面，證券公司可根據投資者信用情況、業務許可權和交易級別等收取不同程度保證金；另一方面，證券公司對於自身風險管理能力較強、信譽良好的客戶，在充分瞭解客戶，並由客戶簽署調整保證金申請表和承諾書的情況下，可執行特殊保證金標準，但不低於</w:t>
      </w:r>
      <w:r>
        <w:rPr>
          <w:rFonts w:hint="eastAsia" w:ascii="仿宋_GB2312" w:eastAsia="宋体" w:cs="仿宋_GB2312"/>
          <w:sz w:val="28"/>
          <w:szCs w:val="28"/>
        </w:rPr>
        <w:t>《風控辦法》規定的保證金</w:t>
      </w:r>
      <w:r>
        <w:rPr>
          <w:rFonts w:hint="eastAsia" w:ascii="仿宋_GB2312" w:eastAsia="宋体"/>
          <w:sz w:val="28"/>
          <w:szCs w:val="28"/>
        </w:rPr>
        <w:t>收取標準。</w:t>
      </w:r>
    </w:p>
    <w:p>
      <w:pPr>
        <w:spacing w:before="156" w:after="156"/>
        <w:ind w:firstLine="560" w:firstLineChars="200"/>
        <w:rPr>
          <w:rFonts w:ascii="仿宋_GB2312" w:eastAsia="仿宋_GB2312"/>
          <w:sz w:val="28"/>
          <w:szCs w:val="28"/>
        </w:rPr>
      </w:pPr>
      <w:r>
        <w:rPr>
          <w:rFonts w:hint="eastAsia" w:ascii="仿宋_GB2312" w:eastAsia="宋体"/>
          <w:sz w:val="28"/>
          <w:szCs w:val="28"/>
        </w:rPr>
        <w:t>4、臨近行權日（包括行權日），為了防範客戶在交收日出現交收違約風險，證券公司可以提高客戶當月合約開倉保證金和維持保證金的收取比例。</w:t>
      </w:r>
    </w:p>
    <w:p>
      <w:pPr>
        <w:spacing w:beforeLines="50" w:afterLines="50"/>
        <w:ind w:firstLine="506" w:firstLineChars="180"/>
        <w:outlineLvl w:val="1"/>
        <w:rPr>
          <w:rFonts w:ascii="仿宋_GB2312" w:eastAsia="仿宋_GB2312"/>
          <w:b/>
          <w:sz w:val="28"/>
          <w:szCs w:val="28"/>
        </w:rPr>
      </w:pPr>
      <w:bookmarkStart w:id="226" w:name="_Toc408665038"/>
      <w:bookmarkStart w:id="227" w:name="_Toc23077"/>
      <w:bookmarkStart w:id="228" w:name="_Toc27937"/>
      <w:bookmarkStart w:id="229" w:name="_Toc31439"/>
      <w:bookmarkStart w:id="230" w:name="二、备兑开仓客户保证金管理"/>
      <w:bookmarkStart w:id="231" w:name="_Toc452017020"/>
      <w:bookmarkStart w:id="232" w:name="_Toc23947154"/>
      <w:r>
        <w:rPr>
          <w:rFonts w:hint="eastAsia" w:ascii="仿宋_GB2312" w:eastAsia="宋体"/>
          <w:b/>
          <w:sz w:val="28"/>
          <w:szCs w:val="28"/>
        </w:rPr>
        <w:t>二、備兌開倉客戶保證金管理</w:t>
      </w:r>
      <w:bookmarkEnd w:id="226"/>
      <w:bookmarkEnd w:id="227"/>
      <w:bookmarkEnd w:id="228"/>
      <w:bookmarkEnd w:id="229"/>
      <w:bookmarkEnd w:id="230"/>
      <w:bookmarkEnd w:id="231"/>
      <w:bookmarkEnd w:id="232"/>
    </w:p>
    <w:p>
      <w:pPr>
        <w:spacing w:beforeLines="50" w:afterLines="50"/>
        <w:ind w:firstLine="506" w:firstLineChars="180"/>
        <w:rPr>
          <w:rFonts w:ascii="仿宋_GB2312" w:eastAsia="仿宋_GB2312"/>
          <w:b/>
          <w:bCs/>
          <w:sz w:val="28"/>
          <w:szCs w:val="28"/>
        </w:rPr>
      </w:pPr>
      <w:r>
        <w:rPr>
          <w:rFonts w:hint="eastAsia" w:ascii="仿宋_GB2312" w:eastAsia="宋体"/>
          <w:b/>
          <w:bCs/>
          <w:sz w:val="28"/>
          <w:szCs w:val="28"/>
        </w:rPr>
        <w:t>（一）對因除權除息引起客戶備兌證券不足的監控</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1、事前通知</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除權除息日前一日，證券公司應提醒客戶合約標的將進行除權除息，將按調整後合約單位重新鎖定備兌備用證券。收盤後，針對備兌開倉客戶，證券公司應再及時通知並提醒客戶。</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對於沒有涉及分紅的權益變更，證券公司可以提早對客戶進行通知提醒，包括合約單位和行權價格變更資訊等。</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2、盤中監控</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除權除息日，證券公司應在規定時間（比如上午一次、下午一次等）對備兌開倉客戶的備兌備用證券數量進行監控，監控指標為盤中客戶備兌備用證券不足數量。證券公司可以與客戶在期權經紀合同中約定，當客戶盤中備兌備用證券不足時，證券公司可以凍結該客戶證券帳戶中未鎖定的合約標的；如客戶證券帳戶中無合約標的，證券公司應及時通知客戶補足並鎖定合約標的為備兌備用證券或自行平倉。</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盤中客戶備兌備用證券不足數量=開倉所需合約標的數量（按新合約單位）-已鎖定的備兌備用證券數量-證券公司凍結的當日新增證券數量（買入等）。</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當盤中客戶備兌備用證券存在不足數量時，不得進行備兌新開倉，不允許進行備兌解鎖。可備兌解鎖的數量不超過按（已鎖定的備兌備用證券數量-按新合約單位計算的所有備兌持倉所需的備兌備用證券）計算的數量。</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3、盤後監控</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除權除息日，證券公司應對客戶備兌證券進行監控。收盤後，證券公司依據中國結算發送的“強行平倉通知書”，應及時向客戶發送強平通知，並通知客戶在下一交易日規定時間點（比如10:00）以前補足備兌備用證券或對不足部分</w:t>
      </w:r>
      <w:r>
        <w:rPr>
          <w:rFonts w:hint="eastAsia" w:ascii="仿宋_GB2312" w:eastAsia="宋体"/>
          <w:kern w:val="0"/>
          <w:sz w:val="28"/>
          <w:szCs w:val="28"/>
          <w:lang w:val="zh-CN"/>
        </w:rPr>
        <w:t>數量</w:t>
      </w:r>
      <w:r>
        <w:rPr>
          <w:rFonts w:hint="eastAsia" w:ascii="仿宋_GB2312" w:eastAsia="宋体"/>
          <w:sz w:val="28"/>
          <w:szCs w:val="28"/>
        </w:rPr>
        <w:t>自行平倉。下一交易日，若客戶未在規定時間補足備兌備用證券或自行平倉，證券公司應在規定時間（比如10:00）開始對客戶實施強行平倉，並確保在11:30之前不存在備兌證券不足情況。</w:t>
      </w:r>
    </w:p>
    <w:p>
      <w:pPr>
        <w:spacing w:beforeLines="50" w:afterLines="50"/>
        <w:ind w:firstLine="506" w:firstLineChars="180"/>
        <w:rPr>
          <w:rFonts w:ascii="仿宋_GB2312" w:eastAsia="仿宋_GB2312"/>
          <w:sz w:val="28"/>
          <w:szCs w:val="28"/>
        </w:rPr>
      </w:pPr>
      <w:r>
        <w:rPr>
          <w:rFonts w:hint="eastAsia" w:ascii="仿宋_GB2312" w:eastAsia="宋体"/>
          <w:b/>
          <w:bCs/>
          <w:sz w:val="28"/>
          <w:szCs w:val="28"/>
        </w:rPr>
        <w:t>（二）其他情況引起客戶備兌證券不足的監控</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交收日日終，證券公司應監控是否因行權交收等導致備兌證券不足而收到中國結算的“強行平倉通知書”。</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交收日日終，客戶應付券不足時，中國結算將使用備兌證券用於交收，從而導致該客戶備兌證券不足。在收到中國結算的“強行平倉通知書”後，應及時通知並提醒客戶在下一交易日規定時間點（比如10:00）以前補足備兌備用證券或對不足部分</w:t>
      </w:r>
      <w:r>
        <w:rPr>
          <w:rFonts w:hint="eastAsia" w:ascii="仿宋_GB2312" w:eastAsia="宋体"/>
          <w:kern w:val="0"/>
          <w:sz w:val="28"/>
          <w:szCs w:val="28"/>
          <w:lang w:val="zh-CN"/>
        </w:rPr>
        <w:t>數量</w:t>
      </w:r>
      <w:r>
        <w:rPr>
          <w:rFonts w:hint="eastAsia" w:ascii="仿宋_GB2312" w:eastAsia="宋体"/>
          <w:sz w:val="28"/>
          <w:szCs w:val="28"/>
        </w:rPr>
        <w:t>自行平倉。下一交易日，若客戶未在規定時間補足備兌備用證券或自行平倉，證券公司應在規定時間（比如10:00）開始對客戶實施強行平倉，並確保在11:30之前不存在備兌證券不足情況。</w:t>
      </w:r>
    </w:p>
    <w:p>
      <w:pPr>
        <w:spacing w:beforeLines="50" w:afterLines="50"/>
        <w:ind w:firstLine="506" w:firstLineChars="180"/>
        <w:rPr>
          <w:rFonts w:ascii="仿宋_GB2312" w:eastAsia="仿宋_GB2312"/>
          <w:sz w:val="28"/>
          <w:szCs w:val="28"/>
        </w:rPr>
      </w:pPr>
      <w:r>
        <w:rPr>
          <w:rFonts w:hint="eastAsia" w:ascii="仿宋_GB2312" w:eastAsia="宋体"/>
          <w:b/>
          <w:bCs/>
          <w:sz w:val="28"/>
          <w:szCs w:val="28"/>
        </w:rPr>
        <w:t>（三）盤中代為鎖定</w:t>
      </w:r>
    </w:p>
    <w:p>
      <w:pPr>
        <w:spacing w:beforeLines="50" w:afterLines="50"/>
        <w:ind w:firstLine="560" w:firstLineChars="200"/>
        <w:rPr>
          <w:rFonts w:ascii="仿宋_GB2312" w:eastAsia="仿宋_GB2312"/>
          <w:b/>
          <w:bCs/>
          <w:sz w:val="28"/>
          <w:szCs w:val="28"/>
        </w:rPr>
      </w:pPr>
      <w:r>
        <w:rPr>
          <w:rFonts w:hint="eastAsia" w:ascii="仿宋_GB2312" w:eastAsia="宋体"/>
          <w:sz w:val="28"/>
          <w:szCs w:val="28"/>
        </w:rPr>
        <w:t>證券公司可以與客戶在期權經紀合同中約定，客戶備兌證券不足時，證券公司可盤中凍結或鎖定其證券帳戶裏的相應數量的合約標的，避免客戶發生備兌不足而導致被強平的風險。</w:t>
      </w:r>
    </w:p>
    <w:p>
      <w:pPr>
        <w:spacing w:beforeLines="50" w:afterLines="50"/>
        <w:jc w:val="center"/>
        <w:outlineLvl w:val="0"/>
        <w:rPr>
          <w:rFonts w:ascii="仿宋_GB2312" w:eastAsia="仿宋_GB2312"/>
          <w:b/>
          <w:bCs/>
          <w:sz w:val="28"/>
          <w:szCs w:val="28"/>
        </w:rPr>
      </w:pPr>
      <w:r>
        <w:rPr>
          <w:rFonts w:hint="eastAsia" w:ascii="仿宋_GB2312" w:eastAsia="仿宋_GB2312"/>
          <w:b/>
          <w:bCs/>
          <w:sz w:val="28"/>
          <w:szCs w:val="28"/>
        </w:rPr>
        <w:br w:type="page"/>
      </w:r>
      <w:bookmarkStart w:id="233" w:name="_Toc408665039"/>
      <w:bookmarkStart w:id="234" w:name="_Toc19608"/>
      <w:bookmarkStart w:id="235" w:name="_Toc245"/>
      <w:bookmarkStart w:id="236" w:name="_Toc22551"/>
      <w:bookmarkStart w:id="237" w:name="第七章资金风险管理"/>
      <w:bookmarkStart w:id="238" w:name="_Toc452017021"/>
      <w:bookmarkStart w:id="239" w:name="_Toc23947155"/>
      <w:r>
        <w:rPr>
          <w:rFonts w:hint="eastAsia" w:ascii="黑体" w:hAnsi="黑体" w:eastAsia="宋体"/>
          <w:b/>
          <w:bCs/>
          <w:sz w:val="32"/>
          <w:szCs w:val="32"/>
        </w:rPr>
        <w:t>第七章 資金風險管理</w:t>
      </w:r>
      <w:bookmarkEnd w:id="233"/>
      <w:bookmarkEnd w:id="234"/>
      <w:bookmarkEnd w:id="235"/>
      <w:bookmarkEnd w:id="236"/>
      <w:bookmarkEnd w:id="237"/>
      <w:bookmarkEnd w:id="238"/>
      <w:bookmarkEnd w:id="239"/>
    </w:p>
    <w:p>
      <w:pPr>
        <w:spacing w:beforeLines="50" w:afterLines="50"/>
        <w:ind w:firstLine="560" w:firstLineChars="200"/>
        <w:rPr>
          <w:rFonts w:ascii="仿宋_GB2312" w:eastAsia="仿宋_GB2312"/>
          <w:sz w:val="28"/>
          <w:szCs w:val="28"/>
        </w:rPr>
      </w:pPr>
      <w:r>
        <w:rPr>
          <w:rFonts w:hint="eastAsia" w:ascii="仿宋_GB2312" w:eastAsia="宋体"/>
          <w:sz w:val="28"/>
          <w:szCs w:val="28"/>
        </w:rPr>
        <w:t>為防止證券公司期權業務客戶資金管理出現流動性風險，證券公司應對客戶衍生品結算資金匯總帳戶和客戶股票期權保證金帳戶的資金劃撥進行盯市管理，並應在客戶股票期權保證金帳戶中存入足額的結算準備金。</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目前，中國結算暫不提供即時出金服務（未來提供服務時間待定）。</w:t>
      </w:r>
    </w:p>
    <w:p>
      <w:pPr>
        <w:spacing w:beforeLines="50" w:afterLines="50"/>
        <w:ind w:firstLine="506" w:firstLineChars="180"/>
        <w:outlineLvl w:val="1"/>
        <w:rPr>
          <w:rFonts w:ascii="仿宋_GB2312" w:eastAsia="仿宋_GB2312"/>
          <w:b/>
          <w:sz w:val="28"/>
          <w:szCs w:val="28"/>
        </w:rPr>
      </w:pPr>
      <w:bookmarkStart w:id="240" w:name="_Toc408665040"/>
      <w:bookmarkStart w:id="241" w:name="_Toc20376"/>
      <w:bookmarkStart w:id="242" w:name="_Toc4237"/>
      <w:bookmarkStart w:id="243" w:name="_Toc6281"/>
      <w:bookmarkStart w:id="244" w:name="一、资金盯市管理"/>
      <w:bookmarkStart w:id="245" w:name="_Toc452017022"/>
      <w:bookmarkStart w:id="246" w:name="_Toc23947156"/>
      <w:r>
        <w:rPr>
          <w:rFonts w:hint="eastAsia" w:ascii="仿宋_GB2312" w:eastAsia="宋体"/>
          <w:b/>
          <w:sz w:val="28"/>
          <w:szCs w:val="28"/>
        </w:rPr>
        <w:t>一、資金盯市管理</w:t>
      </w:r>
      <w:bookmarkEnd w:id="240"/>
      <w:bookmarkEnd w:id="241"/>
      <w:bookmarkEnd w:id="242"/>
      <w:bookmarkEnd w:id="243"/>
      <w:bookmarkEnd w:id="244"/>
      <w:bookmarkEnd w:id="245"/>
      <w:bookmarkEnd w:id="246"/>
    </w:p>
    <w:p>
      <w:pPr>
        <w:ind w:firstLine="562" w:firstLineChars="200"/>
        <w:rPr>
          <w:rFonts w:ascii="仿宋_GB2312" w:eastAsia="仿宋_GB2312"/>
          <w:b/>
          <w:bCs/>
          <w:sz w:val="28"/>
          <w:szCs w:val="28"/>
        </w:rPr>
      </w:pPr>
      <w:r>
        <w:rPr>
          <w:rFonts w:hint="eastAsia" w:ascii="仿宋_GB2312" w:eastAsia="宋体"/>
          <w:b/>
          <w:bCs/>
          <w:sz w:val="28"/>
          <w:szCs w:val="28"/>
        </w:rPr>
        <w:t>（一）資金盯市管理要求</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以保證客戶的正常交易及公司的正常交收為首要目標、兼顧客戶銀衍轉賬的出金需求，證券公司應合理判斷客戶衍生品結算資金匯總帳戶與客戶股票期權保證金帳戶之間的資金配置比例。</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證券公司應及時掌握公司銀行存款餘額變化情況，做好銀衍轉賬客戶出入金的即時監控。</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證券公司應根據期權合約各義務方客戶持倉情況和客戶入金情況等，及時調度資金頭寸，滿足客戶盤中正常開倉、公司盤後正常交收的要求。</w:t>
      </w:r>
    </w:p>
    <w:p>
      <w:pPr>
        <w:spacing w:beforeLines="50" w:afterLines="50"/>
        <w:ind w:firstLine="562" w:firstLineChars="200"/>
        <w:rPr>
          <w:rFonts w:ascii="仿宋_GB2312" w:eastAsia="仿宋_GB2312"/>
          <w:b/>
          <w:bCs/>
          <w:sz w:val="28"/>
          <w:szCs w:val="28"/>
        </w:rPr>
      </w:pPr>
      <w:r>
        <w:rPr>
          <w:rFonts w:hint="eastAsia" w:ascii="仿宋_GB2312" w:eastAsia="宋体"/>
          <w:b/>
          <w:bCs/>
          <w:sz w:val="28"/>
          <w:szCs w:val="28"/>
        </w:rPr>
        <w:t>（二）盤中保證金佔用比例即時監控</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1、監控指標</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證券公司應在盤中對保證金佔用比例進行即時監控。</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保證金佔用比例=經紀業務已佔用保證金/客戶股票期權保證金帳戶總額</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經紀業務已佔用保證金：指根據《風控辦法》規定的保證金標準，按照單個客戶帳戶雙向頭寸未對沖及組合策略持倉的數據，計算的所有客戶佔用的保證金總和，包括已成交的和已申報未成交的義務倉期權合約佔用的保證金之和。</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客戶股票期權保證金帳戶總額：是證券公司存放在中國結算的，即時地用於其所有客戶股票期權保證金管理的帳戶總金額。</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客戶衍生品結算資金匯總帳戶總額：是證券公司在具有衍生品結算資格的銀行開立的，用於存放客戶衍生品交易資金。</w:t>
      </w:r>
    </w:p>
    <w:p>
      <w:pPr>
        <w:spacing w:beforeLines="50" w:afterLines="50"/>
        <w:ind w:firstLine="560" w:firstLineChars="200"/>
        <w:rPr>
          <w:rFonts w:ascii="仿宋_GB2312" w:hAnsi="宋体" w:eastAsia="仿宋_GB2312" w:cs="宋体"/>
          <w:kern w:val="0"/>
          <w:sz w:val="28"/>
          <w:szCs w:val="28"/>
        </w:rPr>
      </w:pPr>
      <w:r>
        <w:rPr>
          <w:rFonts w:hint="eastAsia" w:ascii="仿宋_GB2312" w:eastAsia="宋体"/>
          <w:sz w:val="28"/>
          <w:szCs w:val="28"/>
        </w:rPr>
        <w:t>證券公司資金管理的主要目的是根據經紀業務已佔用保證金的動態變化，將客戶衍生品結算資金匯總帳戶的部分金額劃撥至中國結算指定的客戶股票期權保證金帳戶，從而實現：一方面證券公司的所有客戶的實際開倉規模的最大值與其存放的保證金總額一致；另一方面滿足客戶盤中出金需求，減少客戶資金的盤中佔用。</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2、資金警戒線和劃撥線</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證券公司可依據保證金佔用比例分別設置資金警戒線、資金劃撥線。</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（1）資金劃撥線：當保證金佔用比例等於一定比例（證券公司自定）時，比如當保證金佔用比例為80%時，達到資金劃撥線。</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當盤中證券公司經紀業務保證金佔用比例高於資金劃撥線時，證券公司相關業務人員應及時向存管結算相關部門提出入金需求，將資金從客戶衍生品結算資金匯總帳戶劃轉至客戶股票期權保證金帳戶，注明“客戶資金”和“股票期權保證金帳戶號”，跟蹤資金到賬情況。</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（2）資金警戒線：當保證金佔用比例低於資金劃撥線時，比如當保證金佔用比例為60%時，達到資金警戒線。</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當盤中證券公司經紀業務保證金佔用比例高於資金警戒線時，證券公司相關業務人員應及時向資金調撥人員預約劃款，資金調撥人員隨時做好調撥資金的準備。</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3、證券公司應根據公司期權業務規模、歷史盤後交收金額與峰值、當天期權交易規模、客戶活躍度、經紀業務佔用保證金增速、客戶入金情況等，設定每日資金警戒線、資金劃撥線，並視情況每日進行動態調整。</w:t>
      </w:r>
    </w:p>
    <w:p>
      <w:pPr>
        <w:spacing w:beforeLines="50" w:afterLines="50"/>
        <w:ind w:firstLine="562" w:firstLineChars="200"/>
        <w:rPr>
          <w:rFonts w:ascii="仿宋_GB2312" w:eastAsia="仿宋_GB2312"/>
          <w:b/>
          <w:bCs/>
          <w:sz w:val="28"/>
          <w:szCs w:val="28"/>
        </w:rPr>
      </w:pPr>
      <w:r>
        <w:rPr>
          <w:rFonts w:hint="eastAsia" w:ascii="仿宋_GB2312" w:eastAsia="宋体"/>
          <w:b/>
          <w:bCs/>
          <w:sz w:val="28"/>
          <w:szCs w:val="28"/>
        </w:rPr>
        <w:t>（三）盤後資金維持比例逐日盯市</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收盤後，證券公司應對盤後資金維持比例進行盯市管理。</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盤後資金維持比例=（經紀業務維持保證金+行權淨應付資金）/客戶股票期權保證金帳戶餘額</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經紀業務維持保證金：根據《風控辦法》規定的保證金標準，按照單個客戶持倉自動對沖後及組合策略持倉計算的，所有帳戶的維持保證金總額。</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行權淨應付資金：交收日，客戶行權或被指派應付資金與應收資金累加，包括客戶證券交收違約按現金結算資金，如為淨應收，則行權淨應付資金為0。</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收盤後，為保證公司正常交收，證券公司應保證盤後資金維持比例不高於一定比例（比如90%）。基於客戶在收盤後出金的可能性較大，證券公司需保留足夠的資金滿足客戶出金需求。</w:t>
      </w:r>
    </w:p>
    <w:p>
      <w:pPr>
        <w:spacing w:beforeLines="50" w:afterLines="50"/>
        <w:ind w:firstLine="562" w:firstLineChars="200"/>
        <w:rPr>
          <w:rFonts w:ascii="仿宋_GB2312" w:eastAsia="仿宋_GB2312"/>
          <w:b/>
          <w:bCs/>
          <w:sz w:val="28"/>
          <w:szCs w:val="28"/>
        </w:rPr>
      </w:pPr>
      <w:r>
        <w:rPr>
          <w:rFonts w:hint="eastAsia" w:ascii="仿宋_GB2312" w:eastAsia="宋体"/>
          <w:b/>
          <w:bCs/>
          <w:sz w:val="28"/>
          <w:szCs w:val="28"/>
        </w:rPr>
        <w:t>（四）可用資金餘額頭寸監控</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證券公司應分別在開盤前、盤中和盤後，通過上交所交易系統查詢公司在中國結算開立的客戶股票期權保證金帳戶的可用餘額，進行頭寸監控：</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1、盤中要保證客戶股票期權保證金帳戶可用餘額能滿足客戶的開倉需求；</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2、開盤前和收盤後，要保證客戶股票期權保證金帳戶可用餘額高於最低結算準備餘額（目前暫為200萬）。開盤前，若結算準備金餘額大於零而低於結算準備金最低餘額，</w:t>
      </w:r>
      <w:r>
        <w:rPr>
          <w:rFonts w:hint="eastAsia" w:ascii="仿宋_GB2312" w:eastAsia="宋体" w:cs="仿宋_GB2312"/>
          <w:sz w:val="28"/>
          <w:szCs w:val="28"/>
        </w:rPr>
        <w:t>上交所</w:t>
      </w:r>
      <w:r>
        <w:rPr>
          <w:rFonts w:hint="eastAsia" w:ascii="仿宋_GB2312" w:eastAsia="宋体"/>
          <w:sz w:val="28"/>
          <w:szCs w:val="28"/>
        </w:rPr>
        <w:t>前端控制將禁止客戶新開倉（買入或賣出開倉禁止，允許備兌開倉）。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（五）客戶出金要求</w:t>
      </w:r>
    </w:p>
    <w:p>
      <w:pPr>
        <w:spacing w:before="156" w:after="156"/>
        <w:ind w:firstLine="560" w:firstLineChars="200"/>
        <w:rPr>
          <w:rFonts w:ascii="仿宋_GB2312" w:eastAsia="仿宋_GB2312"/>
          <w:sz w:val="28"/>
          <w:szCs w:val="28"/>
        </w:rPr>
      </w:pPr>
      <w:r>
        <w:rPr>
          <w:rFonts w:hint="eastAsia" w:ascii="仿宋_GB2312" w:eastAsia="宋体"/>
          <w:sz w:val="28"/>
          <w:szCs w:val="28"/>
        </w:rPr>
        <w:t>證券公司根據與客戶在經紀合同中的約定，設置提取線計算客戶可提現資金，允許客戶進行提現。對大額資金提取，可以要求先預約。</w:t>
      </w:r>
    </w:p>
    <w:p>
      <w:pPr>
        <w:numPr>
          <w:ilvl w:val="0"/>
          <w:numId w:val="3"/>
        </w:numPr>
        <w:spacing w:before="156" w:after="156"/>
        <w:ind w:firstLine="560" w:firstLineChars="200"/>
        <w:rPr>
          <w:rFonts w:ascii="仿宋_GB2312" w:eastAsia="仿宋_GB2312"/>
          <w:sz w:val="28"/>
          <w:szCs w:val="28"/>
        </w:rPr>
      </w:pPr>
      <w:r>
        <w:rPr>
          <w:rFonts w:hint="eastAsia" w:ascii="仿宋_GB2312" w:eastAsia="宋体"/>
          <w:sz w:val="28"/>
          <w:szCs w:val="28"/>
        </w:rPr>
        <w:t>賣出平倉注意事項</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 xml:space="preserve"> </w:t>
      </w:r>
      <w:r>
        <w:rPr>
          <w:rFonts w:hint="eastAsia" w:ascii="仿宋_GB2312" w:eastAsia="宋体" w:cs="仿宋_GB2312"/>
          <w:sz w:val="28"/>
          <w:szCs w:val="28"/>
        </w:rPr>
        <w:t>對投資者賣出平倉應注意交易成本的計算。若出現賣出平倉所得無法覆蓋交易成本的情況，應在客戶端進行提醒。若客戶執意平倉，方可接受委託。如預算成交後客戶資產出現透支狀態，證券公司可拒絕該筆委託。</w:t>
      </w:r>
    </w:p>
    <w:p>
      <w:pPr>
        <w:spacing w:beforeLines="50" w:afterLines="50"/>
        <w:ind w:firstLine="506" w:firstLineChars="180"/>
        <w:outlineLvl w:val="1"/>
        <w:rPr>
          <w:rFonts w:ascii="仿宋_GB2312" w:eastAsia="仿宋_GB2312"/>
          <w:b/>
          <w:sz w:val="28"/>
          <w:szCs w:val="28"/>
        </w:rPr>
      </w:pPr>
      <w:bookmarkStart w:id="247" w:name="_Toc408665041"/>
      <w:bookmarkStart w:id="248" w:name="_Toc17406"/>
      <w:bookmarkStart w:id="249" w:name="_Toc29950"/>
      <w:bookmarkStart w:id="250" w:name="_Toc2884"/>
      <w:bookmarkStart w:id="251" w:name="二、资金划拨应急处理"/>
      <w:bookmarkStart w:id="252" w:name="_Toc452017023"/>
      <w:bookmarkStart w:id="253" w:name="_Toc23947157"/>
      <w:r>
        <w:rPr>
          <w:rFonts w:hint="eastAsia" w:ascii="仿宋_GB2312" w:eastAsia="宋体"/>
          <w:b/>
          <w:sz w:val="28"/>
          <w:szCs w:val="28"/>
        </w:rPr>
        <w:t>二、資金劃撥應急處理</w:t>
      </w:r>
      <w:bookmarkEnd w:id="247"/>
      <w:bookmarkEnd w:id="248"/>
      <w:bookmarkEnd w:id="249"/>
      <w:bookmarkEnd w:id="250"/>
      <w:bookmarkEnd w:id="251"/>
      <w:bookmarkEnd w:id="252"/>
      <w:bookmarkEnd w:id="253"/>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證券公司應建立客戶資金存取、劃撥、應對資訊系統故障等異常和突發情況的應急預案，具體要求包括但不限於：</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一）證券公司應與各結算銀行商談並簽訂客戶資金應急劃款協議或備忘錄，建立客戶資金存取和交收的應急備用劃款方式，明確因技術故障等影響客戶資金存取及交收時，相關各方之間的備用操作流程和溝通協調機制，保證客戶資金存取和交收的正常有序進行。</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（二）證券公司應建立多家銀行帳戶劃撥備用機制，一旦一家銀行帳戶結算出現問題或延遲，立即啟用其他銀行帳戶劃撥資金。</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（三）證券公司應通過和銀行建立多種替代方式的資金劃撥路徑，一旦結算出現異常，可以立即通過其他替代劃撥方式完成資金劃撥。和銀行建立良好的結算關係，由銀行指定專人負責跟蹤每筆劃撥資金。</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（四）證券公司應當與結算銀行建立日終數據交換和差異處理機制，保證客戶下一交易日的正常交易和資金存取。</w:t>
      </w:r>
    </w:p>
    <w:p>
      <w:pPr>
        <w:widowControl/>
        <w:jc w:val="left"/>
        <w:rPr>
          <w:rFonts w:ascii="仿宋_GB2312" w:eastAsia="仿宋_GB2312"/>
          <w:b/>
          <w:bCs/>
          <w:sz w:val="28"/>
          <w:szCs w:val="28"/>
        </w:rPr>
      </w:pPr>
    </w:p>
    <w:p>
      <w:pPr>
        <w:spacing w:beforeLines="50" w:afterLines="50"/>
        <w:jc w:val="center"/>
        <w:outlineLvl w:val="0"/>
        <w:rPr>
          <w:rFonts w:ascii="黑体" w:hAnsi="黑体" w:eastAsia="黑体"/>
          <w:b/>
          <w:bCs/>
          <w:sz w:val="32"/>
          <w:szCs w:val="32"/>
        </w:rPr>
      </w:pPr>
      <w:r>
        <w:rPr>
          <w:rFonts w:ascii="黑体" w:hAnsi="黑体" w:eastAsia="黑体"/>
          <w:b/>
          <w:bCs/>
          <w:sz w:val="32"/>
          <w:szCs w:val="32"/>
        </w:rPr>
        <w:br w:type="page"/>
      </w:r>
      <w:bookmarkStart w:id="254" w:name="_Toc408665042"/>
      <w:bookmarkStart w:id="255" w:name="_Toc2376"/>
      <w:bookmarkStart w:id="256" w:name="_Toc28847"/>
      <w:bookmarkStart w:id="257" w:name="_Toc8209"/>
      <w:bookmarkStart w:id="258" w:name="第八章强行平仓管理"/>
      <w:bookmarkStart w:id="259" w:name="_Toc452017024"/>
      <w:bookmarkStart w:id="260" w:name="_Toc23947158"/>
      <w:r>
        <w:rPr>
          <w:rFonts w:hint="eastAsia" w:ascii="黑体" w:hAnsi="黑体" w:eastAsia="宋体"/>
          <w:b/>
          <w:bCs/>
          <w:sz w:val="32"/>
          <w:szCs w:val="32"/>
        </w:rPr>
        <w:t>第八章 強行平倉管理</w:t>
      </w:r>
      <w:bookmarkEnd w:id="254"/>
      <w:bookmarkEnd w:id="255"/>
      <w:bookmarkEnd w:id="256"/>
      <w:bookmarkEnd w:id="257"/>
      <w:bookmarkEnd w:id="258"/>
      <w:bookmarkEnd w:id="259"/>
      <w:bookmarkEnd w:id="260"/>
    </w:p>
    <w:p>
      <w:pPr>
        <w:spacing w:beforeLines="50" w:afterLines="50"/>
        <w:ind w:firstLine="506" w:firstLineChars="180"/>
        <w:outlineLvl w:val="1"/>
        <w:rPr>
          <w:rFonts w:ascii="仿宋_GB2312" w:eastAsia="仿宋_GB2312"/>
          <w:b/>
          <w:sz w:val="28"/>
          <w:szCs w:val="28"/>
        </w:rPr>
      </w:pPr>
      <w:bookmarkStart w:id="261" w:name="_Toc408665043"/>
      <w:bookmarkStart w:id="262" w:name="_Toc16871"/>
      <w:bookmarkStart w:id="263" w:name="_Toc6782"/>
      <w:bookmarkStart w:id="264" w:name="_Toc16159"/>
      <w:bookmarkStart w:id="265" w:name="一、保证金不足强行平仓"/>
      <w:bookmarkStart w:id="266" w:name="_Toc452017025"/>
      <w:bookmarkStart w:id="267" w:name="_Toc23947159"/>
      <w:r>
        <w:rPr>
          <w:rFonts w:hint="eastAsia" w:ascii="仿宋_GB2312" w:eastAsia="宋体"/>
          <w:b/>
          <w:sz w:val="28"/>
          <w:szCs w:val="28"/>
        </w:rPr>
        <w:t>一、保證金不足強行平倉</w:t>
      </w:r>
      <w:bookmarkEnd w:id="261"/>
      <w:bookmarkEnd w:id="262"/>
      <w:bookmarkEnd w:id="263"/>
      <w:bookmarkEnd w:id="264"/>
      <w:bookmarkEnd w:id="265"/>
      <w:bookmarkEnd w:id="266"/>
      <w:bookmarkEnd w:id="267"/>
    </w:p>
    <w:p>
      <w:pPr>
        <w:spacing w:beforeLines="50" w:afterLines="50"/>
        <w:ind w:firstLine="562" w:firstLineChars="200"/>
        <w:rPr>
          <w:rFonts w:ascii="仿宋_GB2312" w:eastAsia="仿宋_GB2312"/>
          <w:b/>
          <w:bCs/>
          <w:sz w:val="28"/>
          <w:szCs w:val="28"/>
        </w:rPr>
      </w:pPr>
      <w:r>
        <w:rPr>
          <w:rFonts w:hint="eastAsia" w:ascii="仿宋_GB2312" w:eastAsia="宋体"/>
          <w:b/>
          <w:bCs/>
          <w:sz w:val="28"/>
          <w:szCs w:val="28"/>
        </w:rPr>
        <w:t>（一）觸發條件</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1、盤中監控</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（1）客戶即時風險值1達到或者高於公司盤中平倉線，且未能在規定時內補足或者自行平倉，證券公司可以在約定時間對客戶進行強行平倉。</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（2）客戶即時風險值2達到或者高於即時處置線，證券公司根據與客戶約定可即時對客戶進行強行平倉。</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證券公司對其客戶的組合策略實施強行平倉的，應當提交強制解除組合策略指令，再對組合策略中的義務倉和權利倉實施強行平倉。上交所對證券公司提交強制解除組合策略的指令進行結算參與人層面的資金前端校驗。</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證券公司對客戶的買入平倉指令可不檢查資金是否足額，若採取資金前端控制，應建立“不足時由客戶自行平倉或證券公司進行強行平倉”相關操作流程。</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2、盤後監控</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（1）客戶維持保證金比例1達到或者高於公司盤後平倉線，且未能在規定時間內補足或者自行平倉，證券公司應在下一交易日（T+1日）約定時間對客戶進行強行平倉。</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（2）客戶維持保證金比2達到或者高於交易所平倉線，且未能在規定時間內補足或者自行平倉，證券公司應在下一交易日（T+1日）上午開盤後儘快對客戶進行強行平倉。</w:t>
      </w:r>
    </w:p>
    <w:p>
      <w:pPr>
        <w:spacing w:beforeLines="50" w:afterLines="50"/>
        <w:ind w:firstLine="562" w:firstLineChars="200"/>
        <w:rPr>
          <w:rFonts w:ascii="仿宋_GB2312" w:eastAsia="仿宋_GB2312"/>
          <w:sz w:val="28"/>
          <w:szCs w:val="28"/>
        </w:rPr>
      </w:pPr>
      <w:r>
        <w:rPr>
          <w:rFonts w:hint="eastAsia" w:ascii="仿宋_GB2312" w:eastAsia="宋体"/>
          <w:b/>
          <w:bCs/>
          <w:sz w:val="28"/>
          <w:szCs w:val="28"/>
        </w:rPr>
        <w:t>（二）平倉原則</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證券公司對客戶進行強行平倉可採用以下原則：</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1、按客戶保證金不足數額確定客戶平倉順序；</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2、對待平倉合約，按前一交易日日終對沖後持倉量由大到小順序選取待平倉合約，或佔用保證金由大到小順序選取待平倉合約，或可釋放保證金由大到小順序選取待平倉合約等。</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證券公司可依照上述原則對客戶的部分或全部合約強行平倉，直至低於追保線。</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證券公司應當在與客戶簽訂的期權經紀合同中，明確約定對客戶執行強行平倉的具體條件與時間，包括可約定“對未持有義務倉而資金餘額小於零的客戶，可對權利倉進行平倉等”。</w:t>
      </w:r>
    </w:p>
    <w:p>
      <w:pPr>
        <w:spacing w:beforeLines="50" w:afterLines="50"/>
        <w:ind w:firstLine="562" w:firstLineChars="200"/>
        <w:rPr>
          <w:rFonts w:ascii="仿宋_GB2312" w:eastAsia="仿宋_GB2312"/>
          <w:sz w:val="28"/>
          <w:szCs w:val="28"/>
        </w:rPr>
      </w:pPr>
      <w:r>
        <w:rPr>
          <w:rFonts w:hint="eastAsia" w:ascii="仿宋_GB2312" w:eastAsia="宋体"/>
          <w:b/>
          <w:bCs/>
          <w:sz w:val="28"/>
          <w:szCs w:val="28"/>
        </w:rPr>
        <w:t>（三）平倉流程</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1、未收到中國結算強平通知書情況下證券公司對客戶發起的強平</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（1）盤中</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盤中監控，客戶即時風險值1高於公司盤中平倉線。證券公司應以郵件、短信、交易端提醒等形式（至少採用兩種形式）向客戶發送“強行平倉警示通知”，並要求客戶在約定時間（可以是當日某時或下一交易日的某個時間點）前追加保證金或自行平倉，否則公司將於該時間實施強行平倉。</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若客戶帳戶風險值持續上升，且客戶即時風險值2高於即時處置線，證券公司根據期權經紀合同中的約定，可即時對客戶進行強行平倉。</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（2）盤後</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日終結算後，若客戶維持保證金比例1高於公司盤後平倉線。證券公司應再次以郵件、短信、交易端提醒等形式（至少採用兩種形式）向客戶發送“強行平倉警示通知”，並要求客戶在下一交易日約定時間前追加保證金或自行平倉。否則證券公司可按照與客戶的約定執行強行平倉。</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日終結算後，若客戶維持保證金比例2高於交易所平倉線，證券公司應以電話、郵件、短信、交易端提醒等形式向客戶發送“強行平倉通知”，若客戶未能在規定時間內補足或者自行平倉，由證券公司儘快對客戶進行強行平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2、收到中國結算強平通知書情況下證券公司對客戶發起的強平</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當證券公司結算準備金小於零時，中國結算隨當日結算數據向有關證券公司發送“強行平倉通知書”。相關證券公司應在收到通知書後在按中國結算要求在規定時間（下一交易日9:00之前）補足保證金。</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如無法補足保證金，應對維持保證金比例1高於公司盤後平倉線或維持保證金比例2高於交易所平倉線的客戶按相應日常平倉流程處理，並確保在收到通知書後的次一交易日上午11:30前，按要求對保證金未予補足部分進行強行平倉。</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如收到通知書的次一交易日上午，全部合約停牌（即市場停市）且下午有恢復交易時，證券公司應當及時入金或在恢復交易後進行強行平倉，若日終保證金足額，下一交易日，中國結算將不進行保證金不足強行平倉（該情況下，證券公司可以上午入金以儘快消除保證金不足的情形）；若日終保證金不足額，該日日終中國結算將向有關證券公司發送“強行平倉通知書”，證券公司收到通知書後應在規定時間內補足資金或強行平倉。全天市場停市下，強行平倉流程順延至恢復交易日首日。</w:t>
      </w:r>
    </w:p>
    <w:p>
      <w:pPr>
        <w:spacing w:beforeLines="50" w:afterLines="50"/>
        <w:ind w:firstLine="506" w:firstLineChars="180"/>
        <w:outlineLvl w:val="1"/>
        <w:rPr>
          <w:rFonts w:ascii="仿宋_GB2312" w:eastAsia="仿宋_GB2312"/>
          <w:b/>
          <w:sz w:val="28"/>
          <w:szCs w:val="28"/>
        </w:rPr>
      </w:pPr>
      <w:bookmarkStart w:id="268" w:name="_Toc408665044"/>
      <w:bookmarkStart w:id="269" w:name="_Toc28352"/>
      <w:bookmarkStart w:id="270" w:name="_Toc16031"/>
      <w:bookmarkStart w:id="271" w:name="_Toc7239"/>
      <w:bookmarkStart w:id="272" w:name="二、备兑不足强行平仓"/>
      <w:bookmarkStart w:id="273" w:name="_Toc452017026"/>
      <w:bookmarkStart w:id="274" w:name="_Toc23947160"/>
      <w:r>
        <w:rPr>
          <w:rFonts w:hint="eastAsia" w:ascii="仿宋_GB2312" w:eastAsia="宋体"/>
          <w:b/>
          <w:sz w:val="28"/>
          <w:szCs w:val="28"/>
        </w:rPr>
        <w:t>二、備兌不足強行平倉</w:t>
      </w:r>
      <w:bookmarkEnd w:id="268"/>
      <w:bookmarkEnd w:id="269"/>
      <w:bookmarkEnd w:id="270"/>
      <w:bookmarkEnd w:id="271"/>
      <w:bookmarkEnd w:id="272"/>
      <w:bookmarkEnd w:id="273"/>
      <w:bookmarkEnd w:id="274"/>
    </w:p>
    <w:p>
      <w:pPr>
        <w:spacing w:beforeLines="50" w:afterLines="50"/>
        <w:ind w:firstLine="562" w:firstLineChars="200"/>
        <w:rPr>
          <w:rFonts w:ascii="仿宋_GB2312" w:hAnsi="宋体" w:eastAsia="仿宋_GB2312"/>
          <w:sz w:val="28"/>
          <w:szCs w:val="28"/>
        </w:rPr>
      </w:pPr>
      <w:r>
        <w:rPr>
          <w:rFonts w:hint="eastAsia" w:ascii="仿宋_GB2312" w:hAnsi="宋体" w:eastAsia="宋体"/>
          <w:b/>
          <w:bCs/>
          <w:sz w:val="28"/>
          <w:szCs w:val="28"/>
        </w:rPr>
        <w:t>（一）觸發條件</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證券公司應對客戶備兌證券情況進行日常監控，及時關注有可能導致客戶備兌證券數量不足的影響因素。導致客戶備兌證券數量不足的原因包括但不限於：</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1、合約標的發生除權除息變動導致備兌證券數量不足；</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2、行權交收應付證券不足，不足部分使用備兌證券，從而導致備兌證券數量不足；</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3、其他導致備兌證券數量不足的情形。</w:t>
      </w:r>
    </w:p>
    <w:p>
      <w:pPr>
        <w:spacing w:beforeLines="50" w:afterLines="50"/>
        <w:ind w:firstLine="562" w:firstLineChars="200"/>
        <w:rPr>
          <w:rFonts w:ascii="仿宋_GB2312" w:hAnsi="宋体" w:eastAsia="仿宋_GB2312"/>
          <w:sz w:val="28"/>
          <w:szCs w:val="28"/>
        </w:rPr>
      </w:pPr>
      <w:r>
        <w:rPr>
          <w:rFonts w:hint="eastAsia" w:ascii="仿宋_GB2312" w:hAnsi="宋体" w:eastAsia="宋体"/>
          <w:b/>
          <w:bCs/>
          <w:sz w:val="28"/>
          <w:szCs w:val="28"/>
        </w:rPr>
        <w:t>（二）平倉原則</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當客戶出現備兌證券數量不足，且未能在規定時間內補足備兌備用證券或未能對不足部分</w:t>
      </w:r>
      <w:r>
        <w:rPr>
          <w:rFonts w:hint="eastAsia" w:ascii="仿宋_GB2312" w:eastAsia="宋体"/>
          <w:kern w:val="0"/>
          <w:sz w:val="28"/>
          <w:szCs w:val="28"/>
          <w:lang w:val="zh-CN"/>
        </w:rPr>
        <w:t>數量</w:t>
      </w:r>
      <w:r>
        <w:rPr>
          <w:rFonts w:hint="eastAsia" w:ascii="仿宋_GB2312" w:eastAsia="宋体"/>
          <w:sz w:val="28"/>
          <w:szCs w:val="28"/>
        </w:rPr>
        <w:t>自行平倉時，證券公司應當對該客戶進行強行平倉。參考原則如下：</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1、對持有備兌證券所對應合約的帳戶，證券公司應按照備兌證券不足數量由大到小的順序選取帳戶作為平倉帳戶；</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2、再按照上一交易日收盤後備兌證券不足帳戶內對應合約持倉量由大到小的順序選取平倉合約。</w:t>
      </w:r>
    </w:p>
    <w:p>
      <w:pPr>
        <w:widowControl/>
        <w:spacing w:beforeLines="50" w:afterLines="50"/>
        <w:ind w:firstLine="562" w:firstLineChars="200"/>
        <w:rPr>
          <w:rFonts w:ascii="仿宋_GB2312" w:hAnsi="宋体" w:eastAsia="仿宋_GB2312"/>
          <w:b/>
          <w:bCs/>
          <w:sz w:val="28"/>
          <w:szCs w:val="28"/>
        </w:rPr>
      </w:pPr>
      <w:r>
        <w:rPr>
          <w:rFonts w:hint="eastAsia" w:ascii="仿宋_GB2312" w:hAnsi="宋体" w:eastAsia="宋体"/>
          <w:b/>
          <w:bCs/>
          <w:sz w:val="28"/>
          <w:szCs w:val="28"/>
        </w:rPr>
        <w:t>（三）平倉流程</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1、未收到中國結算強平通知書情況下證券公司處理流程</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證券公司盤中應對客戶備兌證券情況進行日間監控。對於當日盤中客戶備兌證券數量不足的，證券公司應及時以電話、郵件、短信、交易端提醒等形式（至少採用兩種形式）向客戶發送“補券或自行平倉通知”，要求客戶於在約定時間前補足備兌備用證券或對不足部分</w:t>
      </w:r>
      <w:r>
        <w:rPr>
          <w:rFonts w:hint="eastAsia" w:ascii="仿宋_GB2312" w:eastAsia="宋体"/>
          <w:kern w:val="0"/>
          <w:sz w:val="28"/>
          <w:szCs w:val="28"/>
          <w:lang w:val="zh-CN"/>
        </w:rPr>
        <w:t>數量</w:t>
      </w:r>
      <w:r>
        <w:rPr>
          <w:rFonts w:hint="eastAsia" w:ascii="仿宋_GB2312" w:eastAsia="宋体"/>
          <w:sz w:val="28"/>
          <w:szCs w:val="28"/>
        </w:rPr>
        <w:t>自行平倉。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2、收到中國結算強平通知書情況下證券公司發起的強平</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在當日盤後收到中國結算備兌不足強平通知書的，相關證券公司應在收到通知書後立即進行自查並確定備兌證券數量不足的客戶帳戶，以電話、郵件、短信、交易端提醒等形式（至少採用兩種形式）向客戶發送“強行平倉通知”，並要求客戶在下一交易日上午約定時間（比如10:00）前補足備兌備用證券或對不足部分</w:t>
      </w:r>
      <w:r>
        <w:rPr>
          <w:rFonts w:hint="eastAsia" w:ascii="仿宋_GB2312" w:eastAsia="宋体"/>
          <w:kern w:val="0"/>
          <w:sz w:val="28"/>
          <w:szCs w:val="28"/>
          <w:lang w:val="zh-CN"/>
        </w:rPr>
        <w:t>數量</w:t>
      </w:r>
      <w:r>
        <w:rPr>
          <w:rFonts w:hint="eastAsia" w:ascii="仿宋_GB2312" w:eastAsia="宋体"/>
          <w:sz w:val="28"/>
          <w:szCs w:val="28"/>
        </w:rPr>
        <w:t>自行平倉。在證券公司約定時間，若客戶沒有補足備兌備用證券或未能對不足部分</w:t>
      </w:r>
      <w:r>
        <w:rPr>
          <w:rFonts w:hint="eastAsia" w:ascii="仿宋_GB2312" w:eastAsia="宋体"/>
          <w:kern w:val="0"/>
          <w:sz w:val="28"/>
          <w:szCs w:val="28"/>
          <w:lang w:val="zh-CN"/>
        </w:rPr>
        <w:t>數量</w:t>
      </w:r>
      <w:r>
        <w:rPr>
          <w:rFonts w:hint="eastAsia" w:ascii="仿宋_GB2312" w:eastAsia="宋体"/>
          <w:sz w:val="28"/>
          <w:szCs w:val="28"/>
        </w:rPr>
        <w:t>自行平倉，證券公司應根據與客戶約定的強行平倉原則在約定時間對客戶帳戶執行強行平倉，確保符合中國結算或者上交所規定。</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如收到通知書的次一交易日上午，全部合約停牌（即市場停市）且下午有恢復交易時，證券公司應當督促客戶補足備兌備用證券或在下午恢復交易後及時進行強行平倉，若日終備兌證券不足的情況消除，所司將不進行備兌證券不足強行平倉；若日終備兌證券仍不足，中國結算將向相關證券公司發送備兌證券不足強平通知書。全天市場停市下，強行平倉流程順延至恢復交易日首日。</w:t>
      </w:r>
    </w:p>
    <w:p>
      <w:pPr>
        <w:widowControl/>
        <w:spacing w:beforeLines="50" w:afterLines="50"/>
        <w:ind w:firstLine="562" w:firstLineChars="200"/>
        <w:rPr>
          <w:rFonts w:ascii="仿宋_GB2312" w:hAnsi="宋体" w:eastAsia="仿宋_GB2312"/>
          <w:b/>
          <w:bCs/>
          <w:sz w:val="28"/>
          <w:szCs w:val="28"/>
        </w:rPr>
      </w:pPr>
      <w:r>
        <w:rPr>
          <w:rFonts w:hint="eastAsia" w:ascii="仿宋_GB2312" w:hAnsi="宋体" w:eastAsia="宋体"/>
          <w:b/>
          <w:bCs/>
          <w:sz w:val="28"/>
          <w:szCs w:val="28"/>
        </w:rPr>
        <w:t>（四）其他</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除權除息日客戶現貨帳戶備兌備用證券數量不足，但存在在途數量（配股送股未上市流通的），且客戶備兌備用證券數量與在途數量合併計算後足額的，該客戶可視為除權除息日備兌證券數量足額。證券公司不需要在除權除息日通知客戶進行補券或自行平倉，或進行強行平倉操作。客戶備兌備用證券數量與在途數量合併計算後仍不足的，需要通知客戶補足不足部分。在途數量僅能作為已有的備兌持倉的備兌備用證券，不能用於備兌新開倉。</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 xml:space="preserve">證券公司應設置專門崗位即時關注交易日發生送股、配股等權益類變動的合約標的，提前提請客戶注意，並在除權除息日前一交易日收盤後，根據合約標的當日收盤價，及時提醒和通知客戶注意補券及具體補券數量。 </w:t>
      </w:r>
    </w:p>
    <w:p>
      <w:pPr>
        <w:spacing w:beforeLines="50" w:afterLines="50"/>
        <w:ind w:firstLine="506" w:firstLineChars="180"/>
        <w:outlineLvl w:val="1"/>
        <w:rPr>
          <w:rFonts w:ascii="仿宋_GB2312" w:eastAsia="仿宋_GB2312"/>
          <w:b/>
          <w:sz w:val="28"/>
          <w:szCs w:val="28"/>
        </w:rPr>
      </w:pPr>
      <w:bookmarkStart w:id="275" w:name="_Toc408665045"/>
      <w:bookmarkStart w:id="276" w:name="_Toc21381"/>
      <w:bookmarkStart w:id="277" w:name="_Toc17664"/>
      <w:bookmarkStart w:id="278" w:name="_Toc7626"/>
      <w:bookmarkStart w:id="279" w:name="三、持仓超限平仓"/>
      <w:bookmarkStart w:id="280" w:name="_Toc452017027"/>
      <w:bookmarkStart w:id="281" w:name="_Toc23947161"/>
      <w:r>
        <w:rPr>
          <w:rFonts w:hint="eastAsia" w:ascii="仿宋_GB2312" w:eastAsia="宋体"/>
          <w:b/>
          <w:sz w:val="28"/>
          <w:szCs w:val="28"/>
        </w:rPr>
        <w:t>三、持倉超限平倉</w:t>
      </w:r>
      <w:bookmarkEnd w:id="275"/>
      <w:bookmarkEnd w:id="276"/>
      <w:bookmarkEnd w:id="277"/>
      <w:bookmarkEnd w:id="278"/>
      <w:bookmarkEnd w:id="279"/>
      <w:bookmarkEnd w:id="280"/>
      <w:bookmarkEnd w:id="281"/>
    </w:p>
    <w:p>
      <w:pPr>
        <w:spacing w:beforeLines="50" w:afterLines="50"/>
        <w:ind w:firstLine="562" w:firstLineChars="200"/>
        <w:rPr>
          <w:rFonts w:ascii="仿宋_GB2312" w:hAnsi="宋体" w:eastAsia="仿宋_GB2312"/>
          <w:sz w:val="28"/>
          <w:szCs w:val="28"/>
        </w:rPr>
      </w:pPr>
      <w:r>
        <w:rPr>
          <w:rFonts w:hint="eastAsia" w:ascii="仿宋_GB2312" w:hAnsi="宋体" w:eastAsia="宋体"/>
          <w:b/>
          <w:bCs/>
          <w:sz w:val="28"/>
          <w:szCs w:val="28"/>
        </w:rPr>
        <w:t>（一）觸發條件</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客戶單個合約品種超過證券公司與客戶約定的持倉限額，且未能在規定時間內自行平倉，證券公司可實施強行平倉。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由於</w:t>
      </w:r>
      <w:r>
        <w:rPr>
          <w:rFonts w:hint="eastAsia" w:ascii="仿宋_GB2312" w:eastAsia="宋体" w:cs="仿宋_GB2312"/>
          <w:sz w:val="28"/>
          <w:szCs w:val="28"/>
        </w:rPr>
        <w:t>上交所</w:t>
      </w:r>
      <w:r>
        <w:rPr>
          <w:rFonts w:hint="eastAsia" w:ascii="仿宋_GB2312" w:hAnsi="宋体" w:eastAsia="宋体"/>
          <w:bCs/>
          <w:sz w:val="28"/>
          <w:szCs w:val="28"/>
        </w:rPr>
        <w:t>採取風險控制措施等原因降低市場主體持倉限額、證券公司根據經紀合同約定對客戶的持倉限額作出調整或者因</w:t>
      </w:r>
      <w:r>
        <w:rPr>
          <w:rFonts w:hint="eastAsia" w:ascii="仿宋_GB2312" w:eastAsia="宋体"/>
          <w:sz w:val="28"/>
          <w:szCs w:val="28"/>
        </w:rPr>
        <w:t>客戶申請的持倉限額到期導致客戶持倉超限，客戶可以自行平倉，證券公司不應對客戶自行平倉或對客戶的超額持倉進行強行平倉，但對客戶開倉將按新的持倉限額進行限制。</w:t>
      </w:r>
    </w:p>
    <w:p>
      <w:pPr>
        <w:spacing w:beforeLines="50" w:afterLines="50"/>
        <w:ind w:firstLine="562" w:firstLineChars="200"/>
        <w:rPr>
          <w:rFonts w:ascii="仿宋_GB2312" w:hAnsi="宋体" w:eastAsia="仿宋_GB2312"/>
          <w:b/>
          <w:bCs/>
          <w:sz w:val="28"/>
          <w:szCs w:val="28"/>
        </w:rPr>
      </w:pPr>
      <w:r>
        <w:rPr>
          <w:rFonts w:hint="eastAsia" w:ascii="仿宋_GB2312" w:hAnsi="宋体" w:eastAsia="宋体"/>
          <w:b/>
          <w:bCs/>
          <w:sz w:val="28"/>
          <w:szCs w:val="28"/>
        </w:rPr>
        <w:t>（二）平倉原則</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對單個合約品種持倉超限的，待平倉合約選擇範圍為在該合約品種中，優先選取總持倉量大的合約作為待平倉合約。</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對同一合約義務倉進行強行平倉的，先對非備兌持倉進行強行平倉。</w:t>
      </w:r>
    </w:p>
    <w:p>
      <w:pPr>
        <w:spacing w:beforeLines="50" w:afterLines="50"/>
        <w:ind w:firstLine="562" w:firstLineChars="200"/>
        <w:rPr>
          <w:rFonts w:ascii="仿宋_GB2312" w:hAnsi="宋体" w:eastAsia="仿宋_GB2312"/>
          <w:b/>
          <w:bCs/>
          <w:sz w:val="28"/>
          <w:szCs w:val="28"/>
        </w:rPr>
      </w:pPr>
      <w:r>
        <w:rPr>
          <w:rFonts w:hint="eastAsia" w:ascii="仿宋_GB2312" w:hAnsi="宋体" w:eastAsia="宋体"/>
          <w:b/>
          <w:bCs/>
          <w:sz w:val="28"/>
          <w:szCs w:val="28"/>
        </w:rPr>
        <w:t>（三）平倉流程</w:t>
      </w:r>
    </w:p>
    <w:p>
      <w:pPr>
        <w:spacing w:beforeLines="50" w:afterLines="50"/>
        <w:ind w:firstLine="560" w:firstLineChars="200"/>
        <w:rPr>
          <w:rFonts w:ascii="仿宋_GB2312" w:eastAsia="仿宋_GB2312"/>
          <w:b/>
          <w:sz w:val="28"/>
          <w:szCs w:val="28"/>
        </w:rPr>
      </w:pPr>
      <w:r>
        <w:rPr>
          <w:rFonts w:hint="eastAsia" w:ascii="仿宋_GB2312" w:eastAsia="宋体"/>
          <w:sz w:val="28"/>
          <w:szCs w:val="28"/>
        </w:rPr>
        <w:t>對持倉超限需要進行強行平倉的，證券公司應以電話、郵件、短信、交易端提醒等形式向客戶發送“強行平倉通知書”，並要求客戶在規定時間前自行平倉，否則公司將於該時間實施強行平倉。</w:t>
      </w:r>
    </w:p>
    <w:p>
      <w:pPr>
        <w:spacing w:beforeLines="50" w:afterLines="50"/>
        <w:ind w:firstLine="506" w:firstLineChars="180"/>
        <w:outlineLvl w:val="1"/>
        <w:rPr>
          <w:rFonts w:ascii="仿宋_GB2312" w:eastAsia="仿宋_GB2312"/>
          <w:b/>
          <w:sz w:val="28"/>
          <w:szCs w:val="28"/>
        </w:rPr>
      </w:pPr>
      <w:bookmarkStart w:id="282" w:name="_Toc408665046"/>
      <w:bookmarkStart w:id="283" w:name="_Toc21749"/>
      <w:bookmarkStart w:id="284" w:name="_Toc4933"/>
      <w:bookmarkStart w:id="285" w:name="_Toc13949"/>
      <w:bookmarkStart w:id="286" w:name="四、强平成交回报PBU管理"/>
      <w:bookmarkStart w:id="287" w:name="_Toc452017028"/>
      <w:bookmarkStart w:id="288" w:name="_Toc23947162"/>
      <w:r>
        <w:rPr>
          <w:rFonts w:hint="eastAsia" w:ascii="仿宋_GB2312" w:eastAsia="宋体"/>
          <w:b/>
          <w:sz w:val="28"/>
          <w:szCs w:val="28"/>
        </w:rPr>
        <w:t>四、強平成交回報PBU管理</w:t>
      </w:r>
      <w:bookmarkEnd w:id="282"/>
      <w:bookmarkEnd w:id="283"/>
      <w:bookmarkEnd w:id="284"/>
      <w:bookmarkEnd w:id="285"/>
      <w:bookmarkEnd w:id="286"/>
      <w:bookmarkEnd w:id="287"/>
      <w:bookmarkEnd w:id="288"/>
    </w:p>
    <w:p>
      <w:pPr>
        <w:ind w:firstLine="560" w:firstLineChars="200"/>
        <w:rPr>
          <w:rFonts w:ascii="仿宋_GB2312" w:eastAsia="仿宋_GB2312"/>
          <w:sz w:val="28"/>
          <w:szCs w:val="28"/>
        </w:rPr>
      </w:pPr>
      <w:r>
        <w:rPr>
          <w:rFonts w:hint="eastAsia" w:ascii="仿宋_GB2312" w:eastAsia="宋体"/>
          <w:sz w:val="28"/>
          <w:szCs w:val="28"/>
        </w:rPr>
        <w:t>當證券公司向上交所申請股票期權交易許可權時，需同時向上交所申報強行平倉成交回報指定PBU，用於即時接收由</w:t>
      </w:r>
      <w:r>
        <w:rPr>
          <w:rFonts w:hint="eastAsia" w:ascii="仿宋_GB2312" w:eastAsia="宋体" w:cs="仿宋_GB2312"/>
          <w:sz w:val="28"/>
          <w:szCs w:val="28"/>
        </w:rPr>
        <w:t>上交所</w:t>
      </w:r>
      <w:r>
        <w:rPr>
          <w:rFonts w:hint="eastAsia" w:ascii="仿宋_GB2312" w:eastAsia="宋体"/>
          <w:sz w:val="28"/>
          <w:szCs w:val="28"/>
        </w:rPr>
        <w:t>進行強行平倉的成交回報，該PBU也同時作為日終證券公司向上交所報備相關數據指定的PBU。其中，證券公司應當分別就期權經紀業務和自營業務各申報一個強行平倉成交回報指定PBU。</w:t>
      </w:r>
    </w:p>
    <w:p>
      <w:pPr>
        <w:ind w:firstLine="560" w:firstLineChars="200"/>
        <w:rPr>
          <w:rFonts w:ascii="仿宋_GB2312" w:eastAsia="仿宋_GB2312"/>
          <w:sz w:val="28"/>
          <w:szCs w:val="28"/>
        </w:rPr>
      </w:pPr>
      <w:r>
        <w:rPr>
          <w:rFonts w:hint="eastAsia" w:ascii="仿宋_GB2312" w:eastAsia="宋体"/>
          <w:sz w:val="28"/>
          <w:szCs w:val="28"/>
        </w:rPr>
        <w:t>證券公司可申請修改經紀業務或自營業務強行平倉成交回報指定PBU。申請修改PBU時，登陸上交所會籍系統進行更新提交。</w:t>
      </w:r>
    </w:p>
    <w:p>
      <w:pPr>
        <w:ind w:firstLine="560" w:firstLineChars="200"/>
        <w:rPr>
          <w:rFonts w:ascii="仿宋_GB2312" w:eastAsia="仿宋_GB2312"/>
          <w:sz w:val="28"/>
          <w:szCs w:val="28"/>
        </w:rPr>
      </w:pPr>
      <w:r>
        <w:rPr>
          <w:rFonts w:hint="eastAsia" w:ascii="仿宋_GB2312" w:eastAsia="宋体"/>
          <w:sz w:val="28"/>
          <w:szCs w:val="28"/>
        </w:rPr>
        <w:t>證券公司向上交所申請註銷強行平倉成交回報指定PBU之前，應當先辦理強行平倉成交回報指定PBU的變更業務。</w:t>
      </w:r>
    </w:p>
    <w:p>
      <w:pPr>
        <w:spacing w:beforeLines="50" w:afterLines="50"/>
        <w:ind w:firstLine="506" w:firstLineChars="180"/>
        <w:outlineLvl w:val="1"/>
        <w:rPr>
          <w:rFonts w:ascii="仿宋_GB2312" w:eastAsia="仿宋_GB2312"/>
          <w:b/>
          <w:sz w:val="28"/>
          <w:szCs w:val="28"/>
        </w:rPr>
      </w:pPr>
      <w:bookmarkStart w:id="289" w:name="_Toc408665047"/>
      <w:bookmarkStart w:id="290" w:name="_Toc406660285"/>
      <w:bookmarkStart w:id="291" w:name="_Toc11354"/>
      <w:bookmarkStart w:id="292" w:name="_Toc5933"/>
      <w:bookmarkStart w:id="293" w:name="_Toc7201"/>
      <w:bookmarkStart w:id="294" w:name="五、强行平仓申报订单指令"/>
      <w:bookmarkStart w:id="295" w:name="_Toc452017029"/>
      <w:bookmarkStart w:id="296" w:name="_Toc23947163"/>
      <w:r>
        <w:rPr>
          <w:rFonts w:hint="eastAsia" w:ascii="仿宋_GB2312" w:eastAsia="宋体"/>
          <w:b/>
          <w:sz w:val="28"/>
          <w:szCs w:val="28"/>
        </w:rPr>
        <w:t>五、強行平倉申報訂單指令</w:t>
      </w:r>
      <w:bookmarkEnd w:id="289"/>
      <w:bookmarkEnd w:id="290"/>
      <w:bookmarkEnd w:id="291"/>
      <w:bookmarkEnd w:id="292"/>
      <w:bookmarkEnd w:id="293"/>
      <w:bookmarkEnd w:id="294"/>
      <w:bookmarkEnd w:id="295"/>
      <w:bookmarkEnd w:id="296"/>
    </w:p>
    <w:p>
      <w:pPr>
        <w:spacing w:beforeLines="50" w:afterLines="50"/>
        <w:ind w:firstLine="560" w:firstLineChars="200"/>
        <w:rPr>
          <w:rFonts w:ascii="仿宋_GB2312" w:eastAsia="仿宋_GB2312"/>
          <w:sz w:val="28"/>
          <w:szCs w:val="28"/>
        </w:rPr>
      </w:pPr>
      <w:r>
        <w:rPr>
          <w:rFonts w:hint="eastAsia" w:ascii="仿宋_GB2312" w:eastAsia="宋体"/>
          <w:sz w:val="28"/>
          <w:szCs w:val="28"/>
        </w:rPr>
        <w:t>強行平倉申報訂單指令應嚴格按照相關技術介面要求執行。經紀業務中由</w:t>
      </w:r>
      <w:r>
        <w:rPr>
          <w:rFonts w:hint="eastAsia" w:ascii="仿宋_GB2312" w:eastAsia="宋体"/>
          <w:color w:val="000000"/>
          <w:sz w:val="28"/>
          <w:szCs w:val="28"/>
        </w:rPr>
        <w:t>期權經營機構</w:t>
      </w:r>
      <w:r>
        <w:rPr>
          <w:rFonts w:hint="eastAsia" w:ascii="仿宋_GB2312" w:eastAsia="宋体"/>
          <w:sz w:val="28"/>
          <w:szCs w:val="28"/>
        </w:rPr>
        <w:t>發起的強行平倉，訂單指令為“102=期權經營機構發起”，非期權經營機構發起的強行平倉，訂單指令根據帳戶屬性填寫。</w:t>
      </w:r>
    </w:p>
    <w:p>
      <w:pPr>
        <w:spacing w:beforeLines="50" w:afterLines="50"/>
        <w:ind w:firstLine="506" w:firstLineChars="180"/>
        <w:outlineLvl w:val="1"/>
        <w:rPr>
          <w:rFonts w:ascii="仿宋_GB2312" w:eastAsia="仿宋_GB2312"/>
          <w:b/>
          <w:sz w:val="28"/>
          <w:szCs w:val="28"/>
        </w:rPr>
      </w:pPr>
      <w:bookmarkStart w:id="297" w:name="_Toc408665048"/>
      <w:bookmarkStart w:id="298" w:name="_Toc4666"/>
      <w:bookmarkStart w:id="299" w:name="_Toc18045"/>
      <w:bookmarkStart w:id="300" w:name="_Toc1450"/>
      <w:bookmarkStart w:id="301" w:name="六、平仓有关的应急处理"/>
      <w:bookmarkStart w:id="302" w:name="_Toc452017030"/>
      <w:bookmarkStart w:id="303" w:name="_Toc23947164"/>
      <w:r>
        <w:rPr>
          <w:rFonts w:hint="eastAsia" w:ascii="仿宋_GB2312" w:eastAsia="宋体"/>
          <w:b/>
          <w:sz w:val="28"/>
          <w:szCs w:val="28"/>
        </w:rPr>
        <w:t>六、平倉有關的應急處理</w:t>
      </w:r>
      <w:bookmarkEnd w:id="297"/>
      <w:bookmarkEnd w:id="298"/>
      <w:bookmarkEnd w:id="299"/>
      <w:bookmarkEnd w:id="300"/>
      <w:bookmarkEnd w:id="301"/>
      <w:bookmarkEnd w:id="302"/>
      <w:bookmarkEnd w:id="303"/>
    </w:p>
    <w:p>
      <w:pPr>
        <w:spacing w:beforeLines="50" w:afterLines="50"/>
        <w:ind w:firstLine="562" w:firstLineChars="200"/>
        <w:rPr>
          <w:rFonts w:ascii="仿宋_GB2312" w:hAnsi="宋体" w:eastAsia="仿宋_GB2312"/>
          <w:b/>
          <w:bCs/>
          <w:sz w:val="28"/>
          <w:szCs w:val="28"/>
        </w:rPr>
      </w:pPr>
      <w:r>
        <w:rPr>
          <w:rFonts w:hint="eastAsia" w:ascii="仿宋_GB2312" w:hAnsi="宋体" w:eastAsia="宋体"/>
          <w:b/>
          <w:bCs/>
          <w:sz w:val="28"/>
          <w:szCs w:val="28"/>
        </w:rPr>
        <w:t>（一）備用機制</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證券公司強行平倉操作應通過期權業務系統執行。當強行平倉系統出現故障時，證券公司應配置備用機制。</w:t>
      </w:r>
    </w:p>
    <w:p>
      <w:pPr>
        <w:spacing w:beforeLines="50" w:afterLines="50"/>
        <w:ind w:firstLine="562" w:firstLineChars="200"/>
        <w:rPr>
          <w:rFonts w:ascii="仿宋_GB2312" w:hAnsi="宋体" w:eastAsia="仿宋_GB2312"/>
          <w:b/>
          <w:bCs/>
          <w:sz w:val="28"/>
          <w:szCs w:val="28"/>
        </w:rPr>
      </w:pPr>
      <w:r>
        <w:rPr>
          <w:rFonts w:hint="eastAsia" w:ascii="仿宋_GB2312" w:hAnsi="宋体" w:eastAsia="宋体"/>
          <w:b/>
          <w:bCs/>
          <w:sz w:val="28"/>
          <w:szCs w:val="28"/>
        </w:rPr>
        <w:t>（二）證券公司應設置強行平倉錯單處理流程</w:t>
      </w:r>
    </w:p>
    <w:p>
      <w:pPr>
        <w:spacing w:beforeLines="50" w:afterLines="50"/>
        <w:ind w:firstLine="560" w:firstLineChars="200"/>
        <w:rPr>
          <w:rFonts w:ascii="仿宋_GB2312" w:eastAsia="仿宋_GB2312"/>
          <w:kern w:val="0"/>
          <w:sz w:val="28"/>
          <w:szCs w:val="28"/>
          <w:lang w:val="zh-CN"/>
        </w:rPr>
      </w:pPr>
      <w:r>
        <w:rPr>
          <w:rFonts w:hint="eastAsia" w:ascii="仿宋_GB2312" w:eastAsia="宋体"/>
          <w:sz w:val="28"/>
          <w:szCs w:val="28"/>
        </w:rPr>
        <w:t>強行平倉錯單是指在實施強行平倉過程中，證券公司因誤操作等原因，導致的錯平、多平的平倉成交單。證券公司應與客戶在期權經紀合同中約定強行平倉錯單的情形及補償辦法。</w:t>
      </w:r>
    </w:p>
    <w:p>
      <w:pPr>
        <w:spacing w:beforeLines="50" w:afterLines="50"/>
        <w:jc w:val="center"/>
        <w:outlineLvl w:val="0"/>
        <w:rPr>
          <w:rFonts w:ascii="黑体" w:hAnsi="黑体" w:eastAsia="黑体"/>
          <w:b/>
          <w:bCs/>
          <w:sz w:val="32"/>
          <w:szCs w:val="32"/>
        </w:rPr>
      </w:pPr>
      <w:r>
        <w:rPr>
          <w:rFonts w:ascii="仿宋_GB2312" w:eastAsia="仿宋_GB2312"/>
          <w:kern w:val="0"/>
          <w:sz w:val="28"/>
          <w:szCs w:val="28"/>
          <w:lang w:val="zh-CN"/>
        </w:rPr>
        <w:br w:type="page"/>
      </w:r>
      <w:bookmarkStart w:id="304" w:name="_Toc408665049"/>
      <w:bookmarkStart w:id="305" w:name="_Toc24288"/>
      <w:bookmarkStart w:id="306" w:name="_Toc12774"/>
      <w:bookmarkStart w:id="307" w:name="_Toc15523"/>
      <w:bookmarkStart w:id="308" w:name="第九章行权交收管理"/>
      <w:bookmarkStart w:id="309" w:name="_Toc452017031"/>
      <w:bookmarkStart w:id="310" w:name="_Toc23947165"/>
      <w:r>
        <w:rPr>
          <w:rFonts w:hint="eastAsia" w:ascii="黑体" w:hAnsi="黑体" w:eastAsia="宋体"/>
          <w:b/>
          <w:bCs/>
          <w:sz w:val="32"/>
          <w:szCs w:val="32"/>
        </w:rPr>
        <w:t>第九章 行權交收管理</w:t>
      </w:r>
      <w:bookmarkEnd w:id="304"/>
      <w:bookmarkEnd w:id="305"/>
      <w:bookmarkEnd w:id="306"/>
      <w:bookmarkEnd w:id="307"/>
      <w:bookmarkEnd w:id="308"/>
      <w:bookmarkEnd w:id="309"/>
      <w:bookmarkEnd w:id="310"/>
    </w:p>
    <w:p>
      <w:pPr>
        <w:spacing w:beforeLines="50" w:afterLines="50"/>
        <w:ind w:firstLine="504" w:firstLineChars="180"/>
        <w:rPr>
          <w:rFonts w:ascii="仿宋_GB2312" w:eastAsia="仿宋_GB2312"/>
          <w:sz w:val="28"/>
          <w:szCs w:val="28"/>
        </w:rPr>
      </w:pPr>
      <w:r>
        <w:rPr>
          <w:rFonts w:hint="eastAsia" w:ascii="仿宋_GB2312" w:eastAsia="宋体"/>
          <w:sz w:val="28"/>
          <w:szCs w:val="28"/>
        </w:rPr>
        <w:t>證券公司在期權合約最後交易日前對臨近到期合約、潛在違約風險值進行監控，並對相應客戶進行預警；在期權合約行權交收日，對認購期權義務方、認沽期權義務方的交收風險值監控，並採取相應的處置措施。</w:t>
      </w:r>
    </w:p>
    <w:p>
      <w:pPr>
        <w:spacing w:beforeLines="50" w:afterLines="50"/>
        <w:ind w:firstLine="506" w:firstLineChars="180"/>
        <w:outlineLvl w:val="1"/>
        <w:rPr>
          <w:rFonts w:ascii="仿宋_GB2312" w:eastAsia="仿宋_GB2312"/>
          <w:b/>
          <w:sz w:val="28"/>
          <w:szCs w:val="28"/>
        </w:rPr>
      </w:pPr>
      <w:bookmarkStart w:id="311" w:name="_Toc408665050"/>
      <w:bookmarkStart w:id="312" w:name="_Toc30411"/>
      <w:bookmarkStart w:id="313" w:name="_Toc17489"/>
      <w:bookmarkStart w:id="314" w:name="_Toc13355"/>
      <w:bookmarkStart w:id="315" w:name="一、投资者持仓合约的行权提醒"/>
      <w:bookmarkStart w:id="316" w:name="_Toc452017032"/>
      <w:bookmarkStart w:id="317" w:name="_Toc23947166"/>
      <w:r>
        <w:rPr>
          <w:rFonts w:hint="eastAsia" w:ascii="仿宋_GB2312" w:eastAsia="宋体"/>
          <w:b/>
          <w:sz w:val="28"/>
          <w:szCs w:val="28"/>
        </w:rPr>
        <w:t>一、投資者持倉合約的行權提醒</w:t>
      </w:r>
      <w:bookmarkEnd w:id="311"/>
      <w:bookmarkEnd w:id="312"/>
      <w:bookmarkEnd w:id="313"/>
      <w:bookmarkEnd w:id="314"/>
      <w:bookmarkEnd w:id="315"/>
      <w:bookmarkEnd w:id="316"/>
      <w:bookmarkEnd w:id="317"/>
    </w:p>
    <w:p>
      <w:pPr>
        <w:spacing w:beforeLines="50" w:afterLines="50"/>
        <w:ind w:firstLine="504" w:firstLineChars="180"/>
        <w:rPr>
          <w:rFonts w:ascii="仿宋_GB2312" w:eastAsia="仿宋_GB2312"/>
          <w:sz w:val="28"/>
          <w:szCs w:val="28"/>
        </w:rPr>
      </w:pPr>
      <w:r>
        <w:rPr>
          <w:rFonts w:hint="eastAsia" w:ascii="仿宋_GB2312" w:eastAsia="宋体"/>
          <w:sz w:val="28"/>
          <w:szCs w:val="28"/>
        </w:rPr>
        <w:t>（一）證券公司應在期權合約臨近到期日前3個交易日至到期日，每日通過交易客戶端、短信、郵件等形式（至少採用兩種形式）進行提醒。</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（二）證券公司可在期權合約臨近到期日前5個交易日至到期日，每日對下列投資者進行提醒：（1）持有虛值期權合約的權利方；（2）持有實值期權合約的義務方。</w:t>
      </w:r>
    </w:p>
    <w:p>
      <w:pPr>
        <w:spacing w:beforeLines="50" w:afterLines="50"/>
        <w:ind w:firstLine="506" w:firstLineChars="180"/>
        <w:outlineLvl w:val="1"/>
        <w:rPr>
          <w:rFonts w:ascii="仿宋_GB2312" w:eastAsia="仿宋_GB2312"/>
          <w:b/>
          <w:sz w:val="28"/>
          <w:szCs w:val="28"/>
        </w:rPr>
      </w:pPr>
      <w:bookmarkStart w:id="318" w:name="_Toc408665051"/>
      <w:bookmarkStart w:id="319" w:name="_Toc2916"/>
      <w:bookmarkStart w:id="320" w:name="_Toc3339"/>
      <w:bookmarkStart w:id="321" w:name="_Toc21161"/>
      <w:bookmarkStart w:id="322" w:name="二、投资者行权及交收日风险管理"/>
      <w:bookmarkStart w:id="323" w:name="_Toc452017033"/>
      <w:bookmarkStart w:id="324" w:name="_Toc23947167"/>
      <w:r>
        <w:rPr>
          <w:rFonts w:hint="eastAsia" w:ascii="仿宋_GB2312" w:eastAsia="宋体"/>
          <w:b/>
          <w:sz w:val="28"/>
          <w:szCs w:val="28"/>
        </w:rPr>
        <w:t>二、投資者行權及交收日風險管理</w:t>
      </w:r>
      <w:bookmarkEnd w:id="318"/>
      <w:bookmarkEnd w:id="319"/>
      <w:bookmarkEnd w:id="320"/>
      <w:bookmarkEnd w:id="321"/>
      <w:bookmarkEnd w:id="322"/>
      <w:bookmarkEnd w:id="323"/>
      <w:bookmarkEnd w:id="324"/>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（一）行權日15:00-15:30，投資者可行權數量應為未平倉權利倉數量（包括已申報未成交數量）。</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證券公司應完善相應的技術系統，確保行權日當天申報未成交的數量在15:00-15:30可行權。</w:t>
      </w:r>
    </w:p>
    <w:p>
      <w:pPr>
        <w:spacing w:beforeLines="50" w:afterLines="50"/>
        <w:ind w:firstLine="504" w:firstLineChars="180"/>
        <w:rPr>
          <w:rFonts w:ascii="仿宋_GB2312" w:eastAsia="仿宋_GB2312"/>
          <w:b/>
          <w:sz w:val="28"/>
          <w:szCs w:val="28"/>
        </w:rPr>
      </w:pPr>
      <w:r>
        <w:rPr>
          <w:rFonts w:hint="eastAsia" w:ascii="仿宋_GB2312" w:eastAsia="宋体" w:cs="仿宋_GB2312"/>
          <w:sz w:val="28"/>
          <w:szCs w:val="28"/>
        </w:rPr>
        <w:t>（二）行權日同時提出認購期權行權和認沽期權行權的投資者，若行權同時有效，行權指派後中國結算按照軋差計算該投資者需要交付的資金和標的證券。</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（三）在行權日，如果投資者對持有的虛值期權（以合約標的即時價格計算）提交行權指令，證券公司應在客戶交易終端的下單介面提醒投資者，合約為虛值的行權風險。</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（四）證券公司可向投資者提供“協議行權”服務。詳見第十章關於協議行權的內容。</w:t>
      </w:r>
    </w:p>
    <w:p>
      <w:pPr>
        <w:spacing w:beforeLines="50" w:afterLines="50"/>
        <w:ind w:firstLine="504" w:firstLineChars="180"/>
        <w:rPr>
          <w:rFonts w:ascii="仿宋_GB2312" w:eastAsia="仿宋_GB2312"/>
          <w:kern w:val="0"/>
          <w:sz w:val="28"/>
          <w:szCs w:val="28"/>
          <w:lang w:val="zh-CN"/>
        </w:rPr>
      </w:pPr>
      <w:r>
        <w:rPr>
          <w:rFonts w:hint="eastAsia" w:ascii="仿宋_GB2312" w:eastAsia="宋体"/>
          <w:kern w:val="0"/>
          <w:sz w:val="28"/>
          <w:szCs w:val="28"/>
          <w:lang w:val="zh-CN"/>
        </w:rPr>
        <w:t>（五）合約行權交收日，證券公司應監控行權交收應交券方的“行權交收應交券方違約風險1”和“行權交收應交券方違約風險2”，即監控投資者持有合約標的的情況，對投資者所持有的合約標的不能滿足行權交收應交付數量的投資者，進行電話提醒並督促其補足應交合約標的數量。</w:t>
      </w:r>
    </w:p>
    <w:p>
      <w:pPr>
        <w:widowControl/>
        <w:spacing w:beforeLines="50" w:afterLines="50"/>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行權交收應交券方違約風險1=應交數量/帳戶所持相關流通證券的數量（含備兌持倉）</w:t>
      </w:r>
    </w:p>
    <w:p>
      <w:pPr>
        <w:widowControl/>
        <w:spacing w:beforeLines="50" w:afterLines="50"/>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行權交收應交券方違約風險2=應交數量/帳戶所持相關流通證券的數量（不含備兌持倉）</w:t>
      </w:r>
    </w:p>
    <w:p>
      <w:pPr>
        <w:spacing w:beforeLines="50" w:afterLines="50"/>
        <w:ind w:firstLine="504" w:firstLineChars="180"/>
        <w:rPr>
          <w:rFonts w:ascii="仿宋_GB2312" w:eastAsia="仿宋_GB2312"/>
          <w:kern w:val="0"/>
          <w:sz w:val="28"/>
          <w:szCs w:val="28"/>
          <w:lang w:val="zh-CN"/>
        </w:rPr>
      </w:pPr>
      <w:r>
        <w:rPr>
          <w:rFonts w:hint="eastAsia" w:ascii="仿宋_GB2312" w:eastAsia="宋体"/>
          <w:kern w:val="0"/>
          <w:sz w:val="28"/>
          <w:szCs w:val="28"/>
          <w:lang w:val="zh-CN"/>
        </w:rPr>
        <w:t>（六）合約交收日約定時間內，對合約標的應付方，若準備交收的合約標的仍不足，證券公司可根據與客戶在期權經紀合同中的約定，為客戶買入合約標的或使用自有證券代為提供不足部分的合約標的。</w:t>
      </w:r>
    </w:p>
    <w:p>
      <w:pPr>
        <w:spacing w:beforeLines="50" w:afterLines="50"/>
        <w:ind w:firstLine="504" w:firstLineChars="180"/>
        <w:rPr>
          <w:rFonts w:ascii="仿宋_GB2312" w:eastAsia="仿宋_GB2312"/>
          <w:kern w:val="0"/>
          <w:sz w:val="28"/>
          <w:szCs w:val="28"/>
          <w:lang w:val="zh-CN"/>
        </w:rPr>
      </w:pPr>
      <w:r>
        <w:rPr>
          <w:rFonts w:hint="eastAsia" w:ascii="仿宋_GB2312" w:eastAsia="宋体"/>
          <w:kern w:val="0"/>
          <w:sz w:val="28"/>
          <w:szCs w:val="28"/>
          <w:lang w:val="zh-CN"/>
        </w:rPr>
        <w:t>（七）合約行權交收日，對行權交收資金應付方，證券公司應監控帳戶“行權交收資金應付方違約風險值”，即股票期權保證金帳戶中資金能否滿足行權交收所需的現金。</w:t>
      </w:r>
    </w:p>
    <w:p>
      <w:pPr>
        <w:widowControl/>
        <w:spacing w:beforeLines="50" w:afterLines="50"/>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行權交收資金應付方違約風險=應付所需資金/（可用資金+行權日行權交收已凍結的資金）</w:t>
      </w:r>
    </w:p>
    <w:p>
      <w:pPr>
        <w:widowControl/>
        <w:spacing w:beforeLines="50" w:afterLines="50"/>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證券公司對“行權交收資金應付方違約風險”設定預警值，比如85%，如果超過閥值，證券公司將對客戶預警，而如果大於100%，則表明該帳戶存在很高的違約交收風險，證券公司需採取措施，通知客戶入金。</w:t>
      </w:r>
    </w:p>
    <w:p>
      <w:pPr>
        <w:widowControl/>
        <w:spacing w:beforeLines="50" w:afterLines="50"/>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（八）客戶認沽期權義務方被指派行權後資金不足或客戶認購期權權利方行權資金不足的，證券公司可以自有資金先行墊付，並向上交所申報將相關行權所得證券劃入處置證券帳戶。</w:t>
      </w:r>
    </w:p>
    <w:p>
      <w:pPr>
        <w:widowControl/>
        <w:spacing w:beforeLines="50" w:afterLines="50"/>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日終中國結算將對行權、證券轉處置/轉回指令申報進行校驗，證券公司應確保申報交易單元清算編號與相應帳戶指定交易單元清算編號一致。</w:t>
      </w:r>
    </w:p>
    <w:p>
      <w:pPr>
        <w:spacing w:beforeLines="50" w:afterLines="50"/>
        <w:ind w:firstLine="506" w:firstLineChars="180"/>
        <w:outlineLvl w:val="1"/>
        <w:rPr>
          <w:rFonts w:ascii="仿宋_GB2312" w:eastAsia="仿宋_GB2312"/>
          <w:b/>
          <w:sz w:val="28"/>
          <w:szCs w:val="28"/>
        </w:rPr>
      </w:pPr>
      <w:bookmarkStart w:id="325" w:name="_Toc408665052"/>
      <w:bookmarkStart w:id="326" w:name="_Toc30395"/>
      <w:bookmarkStart w:id="327" w:name="_Toc31002"/>
      <w:bookmarkStart w:id="328" w:name="_Toc6306"/>
      <w:bookmarkStart w:id="329" w:name="三、行权日前调整保证金参数水平提醒"/>
      <w:bookmarkStart w:id="330" w:name="_Toc452017034"/>
      <w:bookmarkStart w:id="331" w:name="_Toc23947168"/>
      <w:r>
        <w:rPr>
          <w:rFonts w:hint="eastAsia" w:ascii="仿宋_GB2312" w:eastAsia="宋体"/>
          <w:b/>
          <w:sz w:val="28"/>
          <w:szCs w:val="28"/>
        </w:rPr>
        <w:t>三、行權日前調整保證金參數水準提醒</w:t>
      </w:r>
      <w:bookmarkEnd w:id="325"/>
      <w:bookmarkEnd w:id="326"/>
      <w:bookmarkEnd w:id="327"/>
      <w:bookmarkEnd w:id="328"/>
      <w:bookmarkEnd w:id="329"/>
      <w:bookmarkEnd w:id="330"/>
      <w:bookmarkEnd w:id="331"/>
    </w:p>
    <w:p>
      <w:pPr>
        <w:spacing w:beforeLines="50" w:afterLines="50"/>
        <w:ind w:firstLine="504" w:firstLineChars="180"/>
        <w:rPr>
          <w:rFonts w:ascii="仿宋_GB2312" w:eastAsia="仿宋_GB2312"/>
          <w:kern w:val="0"/>
          <w:sz w:val="28"/>
          <w:szCs w:val="28"/>
          <w:lang w:val="zh-CN"/>
        </w:rPr>
      </w:pPr>
      <w:r>
        <w:rPr>
          <w:rFonts w:hint="eastAsia" w:ascii="仿宋_GB2312" w:eastAsia="宋体"/>
          <w:kern w:val="0"/>
          <w:sz w:val="28"/>
          <w:szCs w:val="28"/>
          <w:lang w:val="zh-CN"/>
        </w:rPr>
        <w:t>若證券公司按照本指南進行保證金水準參數設置（見本指南第六章“保證金管理”中第一節“客戶保證金管理”的第（一）點“保證金水準”），證券公司應在與投資者簽署的期權經紀合同中，明確約定可能導致保證金參數水準調整的情形。若在臨近行權日進行了參數調整，調整後，應當及時通過郵件、短信、交易客戶端等形式（至少採用兩種形式）做好通知提醒工作。</w:t>
      </w:r>
    </w:p>
    <w:p>
      <w:pPr>
        <w:spacing w:beforeLines="50" w:afterLines="50"/>
        <w:ind w:firstLine="506" w:firstLineChars="180"/>
        <w:outlineLvl w:val="1"/>
        <w:rPr>
          <w:rFonts w:ascii="仿宋_GB2312" w:eastAsia="仿宋_GB2312"/>
          <w:b/>
          <w:sz w:val="28"/>
          <w:szCs w:val="28"/>
        </w:rPr>
      </w:pPr>
      <w:bookmarkStart w:id="332" w:name="_Toc23947169"/>
      <w:r>
        <w:rPr>
          <w:rFonts w:hint="eastAsia" w:ascii="仿宋_GB2312" w:eastAsia="宋体"/>
          <w:b/>
          <w:sz w:val="28"/>
          <w:szCs w:val="28"/>
        </w:rPr>
        <w:t>四、行權指令合併申報</w:t>
      </w:r>
      <w:bookmarkEnd w:id="332"/>
    </w:p>
    <w:p>
      <w:pPr>
        <w:ind w:firstLine="560" w:firstLineChars="200"/>
        <w:rPr>
          <w:rFonts w:ascii="仿宋_GB2312" w:eastAsia="仿宋_GB2312"/>
          <w:sz w:val="28"/>
          <w:szCs w:val="28"/>
        </w:rPr>
      </w:pPr>
      <w:r>
        <w:rPr>
          <w:rFonts w:hint="eastAsia" w:ascii="仿宋_GB2312" w:eastAsia="宋体"/>
          <w:sz w:val="28"/>
          <w:szCs w:val="28"/>
        </w:rPr>
        <w:t>行權日，證券公司可以為同時持有相同標的證券當日到期的認購和認沽期權權利倉的客戶提供行權指令合併申報功能，使客戶實現到期認購和認沽期權的同步行權。具體安排如下：</w:t>
      </w:r>
    </w:p>
    <w:p>
      <w:pPr>
        <w:ind w:firstLine="560" w:firstLineChars="200"/>
        <w:rPr>
          <w:rFonts w:ascii="仿宋_GB2312" w:eastAsia="仿宋_GB2312"/>
          <w:sz w:val="28"/>
          <w:szCs w:val="28"/>
        </w:rPr>
      </w:pPr>
      <w:r>
        <w:rPr>
          <w:rFonts w:hint="eastAsia" w:ascii="仿宋_GB2312" w:eastAsia="宋体"/>
          <w:sz w:val="28"/>
          <w:szCs w:val="28"/>
        </w:rPr>
        <w:t>（一）行權日9:15至9:25、9:30至11:30、13:00至15:30，客戶可向證券公司提出行權指令合併申報委託，每一單位數量的行權指令合併申報包括同一標的的當日到期認購和認沽期權權利倉各一張，認購和認沽期權的合約單位必須相同，認沽期權行權價需高於認購期權。</w:t>
      </w:r>
    </w:p>
    <w:p>
      <w:pPr>
        <w:ind w:firstLine="560" w:firstLineChars="200"/>
        <w:rPr>
          <w:rFonts w:ascii="仿宋_GB2312" w:eastAsia="仿宋_GB2312"/>
          <w:sz w:val="28"/>
          <w:szCs w:val="28"/>
        </w:rPr>
      </w:pPr>
      <w:r>
        <w:rPr>
          <w:rFonts w:hint="eastAsia" w:ascii="仿宋_GB2312" w:eastAsia="宋体"/>
          <w:sz w:val="28"/>
          <w:szCs w:val="28"/>
        </w:rPr>
        <w:t>客戶可多次提交行權指令合併申報，累計申報的行權數量不應超過其持有的權利倉淨頭寸（即相應衍生品合約帳戶同一合約到期組合策略解除後，權利倉和義務倉對沖後的持倉）。若某次申報數量超過當前淨頭寸，則該筆申報中僅持有的權利倉淨頭寸部分有效。例如，行權日某客戶持有的淨頭寸為15張認購期權權利倉和15張認沽期權權利倉，該客戶第一次提出一筆10張認購期權和10張認沽期權的行權指令合併申報，則申報有效；之後第二次再提出一筆10張認購期權和10張認沽期權的行權指令合併申報，因為當前的累計申報數量超過其持有的權利倉淨頭寸，則該筆行權指令合併申報中僅5張認購期權和5張認沽期權的行權指令合併申報有效。</w:t>
      </w:r>
    </w:p>
    <w:p>
      <w:pPr>
        <w:ind w:firstLine="560" w:firstLineChars="200"/>
        <w:rPr>
          <w:rFonts w:ascii="仿宋_GB2312" w:eastAsia="仿宋_GB2312"/>
          <w:sz w:val="28"/>
          <w:szCs w:val="28"/>
        </w:rPr>
      </w:pPr>
      <w:r>
        <w:rPr>
          <w:rFonts w:hint="eastAsia" w:ascii="仿宋_GB2312" w:eastAsia="宋体"/>
          <w:sz w:val="28"/>
          <w:szCs w:val="28"/>
        </w:rPr>
        <w:t>行權指令合併申報可以撤銷，撤銷申報時間為行權日9:15至9:25、9:30至11:30、13:00至15:30。</w:t>
      </w:r>
    </w:p>
    <w:p>
      <w:pPr>
        <w:ind w:firstLine="560" w:firstLineChars="200"/>
        <w:rPr>
          <w:rFonts w:ascii="仿宋_GB2312" w:eastAsia="仿宋_GB2312"/>
          <w:sz w:val="28"/>
          <w:szCs w:val="28"/>
        </w:rPr>
      </w:pPr>
      <w:r>
        <w:rPr>
          <w:rFonts w:hint="eastAsia" w:ascii="仿宋_GB2312" w:eastAsia="宋体"/>
          <w:sz w:val="28"/>
          <w:szCs w:val="28"/>
        </w:rPr>
        <w:t>（二）證券公司根據客戶的行權申報（包括行權指令合併申報和非行權指令合併申報），進行前端控制包括但不限於以下內容：</w:t>
      </w:r>
    </w:p>
    <w:p>
      <w:pPr>
        <w:ind w:firstLine="560" w:firstLineChars="200"/>
        <w:rPr>
          <w:rFonts w:ascii="仿宋_GB2312" w:eastAsia="仿宋_GB2312"/>
          <w:sz w:val="28"/>
          <w:szCs w:val="28"/>
        </w:rPr>
      </w:pPr>
      <w:r>
        <w:rPr>
          <w:rFonts w:hint="eastAsia" w:ascii="仿宋_GB2312" w:eastAsia="宋体"/>
          <w:sz w:val="28"/>
          <w:szCs w:val="28"/>
        </w:rPr>
        <w:t>（1）行權指令合併申報為同一標的證券、合約單位相等、合約為認購與認沽期權、合約在當日到期、認沽期權行權價高於認購期權。</w:t>
      </w:r>
    </w:p>
    <w:p>
      <w:pPr>
        <w:ind w:firstLine="560" w:firstLineChars="200"/>
        <w:rPr>
          <w:rFonts w:ascii="仿宋_GB2312" w:eastAsia="仿宋_GB2312"/>
          <w:sz w:val="28"/>
          <w:szCs w:val="28"/>
        </w:rPr>
      </w:pPr>
      <w:r>
        <w:rPr>
          <w:rFonts w:hint="eastAsia" w:ascii="仿宋_GB2312" w:eastAsia="宋体"/>
          <w:sz w:val="28"/>
          <w:szCs w:val="28"/>
        </w:rPr>
        <w:t>（2）對行權指令合併申報和非行權指令合併申報進行前端控制，檢驗認購期權和認沽期權累計行權指令合併申報數量（扣減撤單後）不得超過客戶持有的相應認購期權合約權利倉淨頭寸及認沽期權合約權利倉淨頭寸的較小值，認購和認沽行權累計數量（扣減撤單後）不得超過客戶持有的相應合約權利倉淨頭寸。淨頭寸以當日到期組合策略解除後的淨頭寸為准。</w:t>
      </w:r>
    </w:p>
    <w:p>
      <w:pPr>
        <w:ind w:firstLine="560" w:firstLineChars="200"/>
        <w:rPr>
          <w:rFonts w:ascii="仿宋_GB2312" w:eastAsia="仿宋_GB2312"/>
          <w:sz w:val="28"/>
          <w:szCs w:val="28"/>
        </w:rPr>
      </w:pPr>
      <w:r>
        <w:rPr>
          <w:rFonts w:hint="eastAsia" w:ascii="仿宋_GB2312" w:eastAsia="宋体"/>
          <w:sz w:val="28"/>
          <w:szCs w:val="28"/>
        </w:rPr>
        <w:t>（三）行權日9:15至9:25、9:30至11:30、13:00至15:30，證券公司向上交所提交行權指令合併申報指令。</w:t>
      </w:r>
    </w:p>
    <w:p>
      <w:pPr>
        <w:ind w:firstLine="560" w:firstLineChars="200"/>
        <w:rPr>
          <w:rFonts w:ascii="仿宋_GB2312" w:eastAsia="仿宋_GB2312"/>
          <w:sz w:val="28"/>
          <w:szCs w:val="28"/>
        </w:rPr>
      </w:pPr>
      <w:r>
        <w:rPr>
          <w:rFonts w:hint="eastAsia" w:ascii="仿宋_GB2312" w:eastAsia="宋体"/>
          <w:sz w:val="28"/>
          <w:szCs w:val="28"/>
        </w:rPr>
        <w:t>（四）上交所對證券公司提交的行權指令合併申報進行前端檢查，主要檢查以下內容：</w:t>
      </w:r>
    </w:p>
    <w:p>
      <w:pPr>
        <w:ind w:firstLine="560" w:firstLineChars="200"/>
        <w:rPr>
          <w:rFonts w:ascii="仿宋_GB2312" w:eastAsia="仿宋_GB2312"/>
          <w:sz w:val="28"/>
          <w:szCs w:val="28"/>
        </w:rPr>
      </w:pPr>
      <w:r>
        <w:rPr>
          <w:rFonts w:hint="eastAsia" w:ascii="仿宋_GB2312" w:eastAsia="宋体"/>
          <w:sz w:val="28"/>
          <w:szCs w:val="28"/>
        </w:rPr>
        <w:t>（1）相關合約標的是否相同；</w:t>
      </w:r>
    </w:p>
    <w:p>
      <w:pPr>
        <w:ind w:firstLine="560" w:firstLineChars="200"/>
        <w:rPr>
          <w:rFonts w:ascii="仿宋_GB2312" w:eastAsia="仿宋_GB2312"/>
          <w:sz w:val="28"/>
          <w:szCs w:val="28"/>
        </w:rPr>
      </w:pPr>
      <w:r>
        <w:rPr>
          <w:rFonts w:hint="eastAsia" w:ascii="仿宋_GB2312" w:eastAsia="宋体"/>
          <w:sz w:val="28"/>
          <w:szCs w:val="28"/>
        </w:rPr>
        <w:t>（2）合約單位是否相等；</w:t>
      </w:r>
    </w:p>
    <w:p>
      <w:pPr>
        <w:ind w:firstLine="560" w:firstLineChars="200"/>
        <w:rPr>
          <w:rFonts w:ascii="仿宋_GB2312" w:eastAsia="仿宋_GB2312"/>
          <w:sz w:val="28"/>
          <w:szCs w:val="28"/>
        </w:rPr>
      </w:pPr>
      <w:r>
        <w:rPr>
          <w:rFonts w:hint="eastAsia" w:ascii="仿宋_GB2312" w:eastAsia="宋体"/>
          <w:sz w:val="28"/>
          <w:szCs w:val="28"/>
        </w:rPr>
        <w:t>（3）一個單位數量的行權指令合併申報是否為認購合約和認沽期權合約各一張；</w:t>
      </w:r>
    </w:p>
    <w:p>
      <w:pPr>
        <w:ind w:firstLine="560" w:firstLineChars="200"/>
        <w:rPr>
          <w:rFonts w:ascii="仿宋_GB2312" w:eastAsia="仿宋_GB2312"/>
          <w:sz w:val="28"/>
          <w:szCs w:val="28"/>
        </w:rPr>
      </w:pPr>
      <w:r>
        <w:rPr>
          <w:rFonts w:hint="eastAsia" w:ascii="仿宋_GB2312" w:eastAsia="宋体"/>
          <w:sz w:val="28"/>
          <w:szCs w:val="28"/>
        </w:rPr>
        <w:t>（4）是否均為當日到期合約；</w:t>
      </w:r>
    </w:p>
    <w:p>
      <w:pPr>
        <w:ind w:firstLine="560" w:firstLineChars="200"/>
        <w:rPr>
          <w:rFonts w:ascii="仿宋_GB2312" w:eastAsia="仿宋_GB2312"/>
          <w:sz w:val="28"/>
          <w:szCs w:val="28"/>
        </w:rPr>
      </w:pPr>
      <w:r>
        <w:rPr>
          <w:rFonts w:hint="eastAsia" w:ascii="仿宋_GB2312" w:eastAsia="宋体"/>
          <w:sz w:val="28"/>
          <w:szCs w:val="28"/>
        </w:rPr>
        <w:t>（5）認沽期權行權價是否高於認購期權；</w:t>
      </w:r>
    </w:p>
    <w:p>
      <w:pPr>
        <w:spacing w:beforeLines="50" w:afterLines="50"/>
        <w:ind w:firstLine="504" w:firstLineChars="180"/>
        <w:rPr>
          <w:rFonts w:ascii="仿宋_GB2312" w:eastAsia="仿宋_GB2312"/>
          <w:kern w:val="0"/>
          <w:sz w:val="28"/>
          <w:szCs w:val="28"/>
          <w:lang w:val="zh-CN"/>
        </w:rPr>
      </w:pPr>
      <w:r>
        <w:rPr>
          <w:rFonts w:hint="eastAsia" w:ascii="仿宋_GB2312" w:eastAsia="宋体"/>
          <w:sz w:val="28"/>
          <w:szCs w:val="28"/>
        </w:rPr>
        <w:t>（五）行權日日終，中國結算根據行權數據(包括非行權指令合併申報數據及有效的行權指令合併申報數據)，先對行權指令合併申報數據進行處理，再對非行權指令合併申報數據進行處理。若行權指令合併申報數量超過客戶可用淨頭寸，則僅權利倉淨頭寸部分有效。在完成行權指令合併申報數據的處理後，中國結算根據行權可用權利倉數量，按現有規則對非合併申報的認購、認沽行權數據進行有效性檢查。中國結算匯總通過有效性檢查的行權指令合併申報及非行權指令合併申報數據，形成有效行權，並按現有規則完成行權指派、行權清算和行權交收等後續業務處理。</w:t>
      </w:r>
    </w:p>
    <w:p>
      <w:pPr>
        <w:pStyle w:val="3"/>
        <w:ind w:firstLine="643"/>
        <w:jc w:val="center"/>
        <w:rPr>
          <w:rFonts w:ascii="黑体" w:hAnsi="黑体" w:eastAsia="黑体"/>
          <w:sz w:val="32"/>
        </w:rPr>
      </w:pPr>
      <w:bookmarkStart w:id="333" w:name="_Toc452017035"/>
      <w:bookmarkStart w:id="334" w:name="_Toc23947170"/>
      <w:r>
        <w:rPr>
          <w:rFonts w:hint="eastAsia" w:ascii="黑体" w:hAnsi="黑体" w:eastAsia="宋体"/>
          <w:sz w:val="32"/>
        </w:rPr>
        <w:t>第十章  協議行權</w:t>
      </w:r>
      <w:bookmarkEnd w:id="333"/>
      <w:bookmarkEnd w:id="334"/>
    </w:p>
    <w:p>
      <w:pPr>
        <w:spacing w:beforeLines="50" w:afterLines="50"/>
        <w:ind w:firstLine="560" w:firstLineChars="200"/>
        <w:rPr>
          <w:rFonts w:ascii="仿宋_GB2312" w:eastAsia="仿宋_GB2312"/>
          <w:sz w:val="28"/>
          <w:szCs w:val="28"/>
        </w:rPr>
      </w:pPr>
      <w:r>
        <w:rPr>
          <w:rFonts w:hint="eastAsia" w:ascii="仿宋_GB2312" w:eastAsia="宋体"/>
          <w:sz w:val="28"/>
          <w:szCs w:val="28"/>
        </w:rPr>
        <w:t>協議行權是指證券公司與客戶通過期權經紀合同約定，證券公司借助系統為客戶指定合約設置行權策略，客戶在行權日不必再提交行權委託，系統會為指定合約自動提交行權委託的服務。協議行權能夠降低客戶在行權日忘記行權帶來損失的風險。</w:t>
      </w:r>
    </w:p>
    <w:p>
      <w:pPr>
        <w:pStyle w:val="3"/>
        <w:ind w:firstLine="562"/>
      </w:pPr>
      <w:bookmarkStart w:id="335" w:name="_Toc452017036"/>
      <w:bookmarkStart w:id="336" w:name="_Toc23947171"/>
      <w:r>
        <w:rPr>
          <w:rFonts w:hint="eastAsia" w:eastAsia="宋体"/>
        </w:rPr>
        <w:t>一、協議行權策略</w:t>
      </w:r>
      <w:bookmarkEnd w:id="335"/>
      <w:bookmarkEnd w:id="336"/>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證券公司可為客戶提供協議行權服務，客戶可以自行選擇策略和觸發條件，以此確定策略閥值。建議證券公司將協議行權申報委託時間設定在收盤後。</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以下為協議行權策略舉例，僅供參考，證券公司可以根據自身情況制定協議行權策略：</w:t>
      </w:r>
    </w:p>
    <w:p>
      <w:pPr>
        <w:spacing w:beforeLines="50" w:afterLines="50"/>
        <w:ind w:firstLine="420"/>
        <w:rPr>
          <w:rFonts w:ascii="仿宋_GB2312" w:eastAsia="仿宋_GB2312"/>
          <w:sz w:val="28"/>
          <w:szCs w:val="28"/>
        </w:rPr>
      </w:pPr>
      <w:r>
        <w:rPr>
          <w:rFonts w:hint="eastAsia" w:ascii="仿宋_GB2312" w:eastAsia="宋体"/>
          <w:sz w:val="28"/>
          <w:szCs w:val="28"/>
        </w:rPr>
        <w:t>（一）實值x元即行權</w:t>
      </w:r>
    </w:p>
    <w:p>
      <w:pPr>
        <w:spacing w:beforeLines="50" w:afterLines="50"/>
        <w:ind w:firstLine="420"/>
        <w:rPr>
          <w:rFonts w:ascii="仿宋_GB2312" w:eastAsia="仿宋_GB2312"/>
          <w:sz w:val="28"/>
          <w:szCs w:val="28"/>
        </w:rPr>
      </w:pPr>
      <w:r>
        <w:rPr>
          <w:rFonts w:hint="eastAsia" w:ascii="仿宋_GB2312" w:eastAsia="宋体"/>
          <w:sz w:val="28"/>
          <w:szCs w:val="28"/>
        </w:rPr>
        <w:t>認購期權：收盤價 - 行權價≥策略閥值</w:t>
      </w:r>
    </w:p>
    <w:p>
      <w:pPr>
        <w:spacing w:beforeLines="50" w:afterLines="50"/>
        <w:ind w:firstLine="420"/>
        <w:rPr>
          <w:rFonts w:ascii="仿宋_GB2312" w:eastAsia="仿宋_GB2312"/>
          <w:sz w:val="28"/>
          <w:szCs w:val="28"/>
        </w:rPr>
      </w:pPr>
      <w:r>
        <w:rPr>
          <w:rFonts w:hint="eastAsia" w:ascii="仿宋_GB2312" w:eastAsia="宋体"/>
          <w:sz w:val="28"/>
          <w:szCs w:val="28"/>
        </w:rPr>
        <w:t>認沽期權：行權價 - 收盤價≥策略閥值</w:t>
      </w:r>
    </w:p>
    <w:p>
      <w:pPr>
        <w:spacing w:beforeLines="50" w:afterLines="50"/>
        <w:ind w:firstLine="420"/>
        <w:rPr>
          <w:rFonts w:ascii="仿宋_GB2312" w:eastAsia="仿宋_GB2312"/>
          <w:sz w:val="28"/>
          <w:szCs w:val="28"/>
        </w:rPr>
      </w:pPr>
      <w:r>
        <w:rPr>
          <w:rFonts w:hint="eastAsia" w:ascii="仿宋_GB2312" w:eastAsia="宋体"/>
          <w:sz w:val="28"/>
          <w:szCs w:val="28"/>
        </w:rPr>
        <w:t>（二）盈利x元即行權</w:t>
      </w:r>
    </w:p>
    <w:p>
      <w:pPr>
        <w:spacing w:beforeLines="50" w:afterLines="50"/>
        <w:ind w:firstLine="420"/>
        <w:rPr>
          <w:rFonts w:ascii="仿宋_GB2312" w:eastAsia="仿宋_GB2312"/>
          <w:sz w:val="28"/>
          <w:szCs w:val="28"/>
        </w:rPr>
      </w:pPr>
      <w:r>
        <w:rPr>
          <w:rFonts w:hint="eastAsia" w:ascii="仿宋_GB2312" w:eastAsia="宋体"/>
          <w:sz w:val="28"/>
          <w:szCs w:val="28"/>
        </w:rPr>
        <w:t>認購期權：收盤價 - 行權價 - 折算的單份費用≥策略閥值</w:t>
      </w:r>
    </w:p>
    <w:p>
      <w:pPr>
        <w:spacing w:beforeLines="50" w:afterLines="50"/>
        <w:ind w:firstLine="420"/>
        <w:rPr>
          <w:rFonts w:ascii="仿宋_GB2312" w:eastAsia="仿宋_GB2312"/>
          <w:sz w:val="28"/>
          <w:szCs w:val="28"/>
        </w:rPr>
      </w:pPr>
      <w:r>
        <w:rPr>
          <w:rFonts w:hint="eastAsia" w:ascii="仿宋_GB2312" w:eastAsia="宋体"/>
          <w:sz w:val="28"/>
          <w:szCs w:val="28"/>
        </w:rPr>
        <w:t>認沽期權：行權價 - 收盤價 - 折算的單份費用≥策略閥值</w:t>
      </w:r>
    </w:p>
    <w:p>
      <w:pPr>
        <w:spacing w:beforeLines="50" w:afterLines="50"/>
        <w:ind w:firstLine="420"/>
        <w:rPr>
          <w:rFonts w:ascii="仿宋_GB2312" w:eastAsia="仿宋_GB2312"/>
          <w:sz w:val="28"/>
          <w:szCs w:val="28"/>
        </w:rPr>
      </w:pPr>
      <w:r>
        <w:rPr>
          <w:rFonts w:hint="eastAsia" w:ascii="仿宋_GB2312" w:eastAsia="宋体"/>
          <w:sz w:val="28"/>
          <w:szCs w:val="28"/>
        </w:rPr>
        <w:t>（三）實值百分比即行權</w:t>
      </w:r>
    </w:p>
    <w:p>
      <w:pPr>
        <w:spacing w:beforeLines="50" w:afterLines="50"/>
        <w:ind w:firstLine="420"/>
        <w:rPr>
          <w:rFonts w:ascii="仿宋_GB2312" w:eastAsia="仿宋_GB2312"/>
          <w:sz w:val="28"/>
          <w:szCs w:val="28"/>
        </w:rPr>
      </w:pPr>
      <w:r>
        <w:rPr>
          <w:rFonts w:hint="eastAsia" w:ascii="仿宋_GB2312" w:eastAsia="宋体"/>
          <w:sz w:val="28"/>
          <w:szCs w:val="28"/>
        </w:rPr>
        <w:t>認購期權：（收盤價 - 行權價）/行權價≥策略閥值</w:t>
      </w:r>
    </w:p>
    <w:p>
      <w:pPr>
        <w:spacing w:beforeLines="50" w:afterLines="50"/>
        <w:ind w:firstLine="420"/>
        <w:rPr>
          <w:rFonts w:ascii="仿宋_GB2312" w:eastAsia="仿宋_GB2312"/>
          <w:sz w:val="28"/>
          <w:szCs w:val="28"/>
        </w:rPr>
      </w:pPr>
      <w:r>
        <w:rPr>
          <w:rFonts w:hint="eastAsia" w:ascii="仿宋_GB2312" w:eastAsia="宋体"/>
          <w:sz w:val="28"/>
          <w:szCs w:val="28"/>
        </w:rPr>
        <w:t>認沽期權：（行權價 - 收盤價）/行權價≥策略閥值</w:t>
      </w:r>
    </w:p>
    <w:p>
      <w:pPr>
        <w:spacing w:beforeLines="50" w:afterLines="50"/>
        <w:ind w:firstLine="420"/>
        <w:rPr>
          <w:rFonts w:ascii="仿宋_GB2312" w:eastAsia="仿宋_GB2312"/>
          <w:sz w:val="28"/>
          <w:szCs w:val="28"/>
        </w:rPr>
      </w:pPr>
      <w:r>
        <w:rPr>
          <w:rFonts w:hint="eastAsia" w:ascii="仿宋_GB2312" w:eastAsia="宋体"/>
          <w:sz w:val="28"/>
          <w:szCs w:val="28"/>
        </w:rPr>
        <w:t>（四）盈利百分比即行權</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認購期權：（收盤價 - 行權價- 折算的單份費用）/（行權價 + 折算的單份費用）≥策略閥值</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認沽期權：（行權價 - 收盤價- 折算的單份費用）/（行權價 + 折算的單份費用）≥策略閥值</w:t>
      </w:r>
    </w:p>
    <w:p>
      <w:pPr>
        <w:pStyle w:val="3"/>
        <w:ind w:firstLine="562"/>
      </w:pPr>
      <w:bookmarkStart w:id="337" w:name="_Toc452017037"/>
      <w:bookmarkStart w:id="338" w:name="_Toc23947172"/>
      <w:r>
        <w:rPr>
          <w:rFonts w:hint="eastAsia" w:eastAsia="宋体"/>
        </w:rPr>
        <w:t>二、協議行權注意事項</w:t>
      </w:r>
      <w:bookmarkEnd w:id="337"/>
      <w:bookmarkEnd w:id="338"/>
    </w:p>
    <w:p>
      <w:pPr>
        <w:spacing w:beforeLines="50" w:afterLines="50"/>
        <w:ind w:firstLine="560" w:firstLineChars="200"/>
        <w:rPr>
          <w:rFonts w:ascii="仿宋_GB2312" w:eastAsia="仿宋_GB2312"/>
          <w:sz w:val="28"/>
          <w:szCs w:val="28"/>
        </w:rPr>
      </w:pPr>
      <w:r>
        <w:rPr>
          <w:rFonts w:hint="eastAsia" w:ascii="仿宋_GB2312" w:eastAsia="宋体"/>
          <w:sz w:val="28"/>
          <w:szCs w:val="28"/>
        </w:rPr>
        <w:t>投資者可以在任意交易日的交易時間設置針對任意合約的協議行權策略，包括沒有持倉的合約；也可以設置一條針對所有合約都適用的行權策略。</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證券公司在經過客戶認可後，可以為客戶設置默認的協議行權策略，該策略的閥值由證券公司設定。</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客戶自行設置的協議行權策略優先於證券公司為客戶設置的默認協議行權策略。</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客戶在行權日發出的手動行權委託（即客戶在行權日提交的行權委託）優先於協議行權委託。</w:t>
      </w:r>
    </w:p>
    <w:p>
      <w:pPr>
        <w:spacing w:beforeLines="50" w:afterLines="50"/>
        <w:ind w:firstLine="560" w:firstLineChars="200"/>
        <w:rPr>
          <w:rFonts w:ascii="仿宋_GB2312" w:eastAsia="仿宋_GB2312"/>
          <w:sz w:val="28"/>
          <w:szCs w:val="28"/>
        </w:rPr>
      </w:pPr>
    </w:p>
    <w:p>
      <w:pPr>
        <w:pStyle w:val="3"/>
        <w:ind w:firstLine="643"/>
        <w:jc w:val="center"/>
        <w:rPr>
          <w:rFonts w:ascii="黑体" w:hAnsi="黑体" w:eastAsia="黑体"/>
          <w:sz w:val="32"/>
        </w:rPr>
      </w:pPr>
      <w:bookmarkStart w:id="339" w:name="_Toc452017038"/>
      <w:bookmarkStart w:id="340" w:name="_Toc23947173"/>
      <w:r>
        <w:rPr>
          <w:rFonts w:hint="eastAsia" w:ascii="黑体" w:hAnsi="黑体" w:eastAsia="宋体"/>
          <w:sz w:val="32"/>
        </w:rPr>
        <w:t>第十一章  客戶結算</w:t>
      </w:r>
      <w:bookmarkEnd w:id="339"/>
      <w:bookmarkEnd w:id="340"/>
    </w:p>
    <w:p>
      <w:pPr>
        <w:pStyle w:val="3"/>
        <w:ind w:firstLine="562"/>
      </w:pPr>
      <w:bookmarkStart w:id="341" w:name="_Toc452017039"/>
      <w:bookmarkStart w:id="342" w:name="_Toc23947174"/>
      <w:r>
        <w:rPr>
          <w:rFonts w:hint="eastAsia" w:eastAsia="宋体"/>
        </w:rPr>
        <w:t>一、日常交易清算</w:t>
      </w:r>
      <w:bookmarkEnd w:id="341"/>
      <w:bookmarkEnd w:id="342"/>
    </w:p>
    <w:p>
      <w:pPr>
        <w:ind w:firstLine="560" w:firstLineChars="200"/>
        <w:rPr>
          <w:rFonts w:ascii="仿宋_GB2312" w:eastAsia="仿宋_GB2312"/>
          <w:sz w:val="28"/>
          <w:szCs w:val="28"/>
        </w:rPr>
      </w:pPr>
      <w:r>
        <w:rPr>
          <w:rFonts w:hint="eastAsia" w:ascii="仿宋_GB2312" w:eastAsia="宋体"/>
          <w:sz w:val="28"/>
          <w:szCs w:val="28"/>
        </w:rPr>
        <w:t>T日日終，證券公司根據中國結算發送的數據，對客戶進行權利金和合約持倉變更的清算。當日單個客戶全部股票期權交易資金清算結果以該客戶股票期權保證金帳戶為單位進行軋差，形成該客戶當日交易資金交收淨應收/付淨額（若T日前一交易日為行權交收日，資金淨應收/付淨額中包含過戶費）。</w:t>
      </w:r>
    </w:p>
    <w:p>
      <w:pPr>
        <w:ind w:firstLine="560" w:firstLineChars="200"/>
        <w:rPr>
          <w:rFonts w:ascii="仿宋_GB2312" w:eastAsia="仿宋_GB2312"/>
          <w:sz w:val="28"/>
          <w:szCs w:val="28"/>
        </w:rPr>
      </w:pPr>
      <w:r>
        <w:rPr>
          <w:rFonts w:hint="eastAsia" w:ascii="仿宋_GB2312" w:eastAsia="宋体"/>
          <w:sz w:val="28"/>
          <w:szCs w:val="28"/>
        </w:rPr>
        <w:t>對客戶各交易類型清算處理如下：①買入開倉：增加權利倉頭寸，計減權利金；②賣出平倉：減少權利倉頭寸，計增權利金；③賣出開倉：增加義務倉頭寸，計減保證金，計增權利金；④買入平倉：減少義務倉頭寸，計增保證金，計減權利金；</w:t>
      </w:r>
      <w:r>
        <w:rPr>
          <w:rFonts w:hint="eastAsia" w:ascii="仿宋_GB2312" w:eastAsia="仿宋_GB2312"/>
          <w:sz w:val="28"/>
          <w:szCs w:val="28"/>
        </w:rPr>
        <w:fldChar w:fldCharType="begin"/>
      </w:r>
      <w:r>
        <w:rPr>
          <w:rFonts w:hint="eastAsia" w:ascii="仿宋_GB2312" w:eastAsia="仿宋_GB2312"/>
          <w:sz w:val="28"/>
          <w:szCs w:val="28"/>
        </w:rPr>
        <w:instrText xml:space="preserve"> = 5 \* GB3 </w:instrText>
      </w:r>
      <w:r>
        <w:rPr>
          <w:rFonts w:hint="eastAsia" w:ascii="仿宋_GB2312" w:eastAsia="仿宋_GB2312"/>
          <w:sz w:val="28"/>
          <w:szCs w:val="28"/>
        </w:rPr>
        <w:fldChar w:fldCharType="separate"/>
      </w:r>
      <w:r>
        <w:rPr>
          <w:rFonts w:hint="eastAsia" w:ascii="仿宋_GB2312" w:eastAsia="宋体"/>
          <w:sz w:val="28"/>
          <w:szCs w:val="28"/>
        </w:rPr>
        <w:t>⑤</w:t>
      </w:r>
      <w:r>
        <w:rPr>
          <w:rFonts w:hint="eastAsia" w:ascii="仿宋_GB2312" w:eastAsia="仿宋_GB2312"/>
          <w:sz w:val="28"/>
          <w:szCs w:val="28"/>
        </w:rPr>
        <w:fldChar w:fldCharType="end"/>
      </w:r>
      <w:r>
        <w:rPr>
          <w:rFonts w:hint="eastAsia" w:ascii="仿宋_GB2312" w:eastAsia="宋体"/>
          <w:sz w:val="28"/>
          <w:szCs w:val="28"/>
        </w:rPr>
        <w:t>備兌開倉：增加義務倉頭寸，鎖定標的證券，計增權利金；</w:t>
      </w:r>
      <w:r>
        <w:rPr>
          <w:rFonts w:hint="eastAsia" w:ascii="仿宋_GB2312" w:eastAsia="仿宋_GB2312"/>
          <w:sz w:val="28"/>
          <w:szCs w:val="28"/>
        </w:rPr>
        <w:fldChar w:fldCharType="begin"/>
      </w:r>
      <w:r>
        <w:rPr>
          <w:rFonts w:hint="eastAsia" w:ascii="仿宋_GB2312" w:eastAsia="仿宋_GB2312"/>
          <w:sz w:val="28"/>
          <w:szCs w:val="28"/>
        </w:rPr>
        <w:instrText xml:space="preserve"> = 6 \* GB3 </w:instrText>
      </w:r>
      <w:r>
        <w:rPr>
          <w:rFonts w:hint="eastAsia" w:ascii="仿宋_GB2312" w:eastAsia="仿宋_GB2312"/>
          <w:sz w:val="28"/>
          <w:szCs w:val="28"/>
        </w:rPr>
        <w:fldChar w:fldCharType="separate"/>
      </w:r>
      <w:r>
        <w:rPr>
          <w:rFonts w:hint="eastAsia" w:ascii="仿宋_GB2312" w:eastAsia="宋体"/>
          <w:sz w:val="28"/>
          <w:szCs w:val="28"/>
        </w:rPr>
        <w:t>⑥</w:t>
      </w:r>
      <w:r>
        <w:rPr>
          <w:rFonts w:hint="eastAsia" w:ascii="仿宋_GB2312" w:eastAsia="仿宋_GB2312"/>
          <w:sz w:val="28"/>
          <w:szCs w:val="28"/>
        </w:rPr>
        <w:fldChar w:fldCharType="end"/>
      </w:r>
      <w:r>
        <w:rPr>
          <w:rFonts w:hint="eastAsia" w:ascii="仿宋_GB2312" w:eastAsia="宋体"/>
          <w:sz w:val="28"/>
          <w:szCs w:val="28"/>
        </w:rPr>
        <w:t>備兌平倉：減少義務倉頭寸，解鎖標的證券，計減權利金。</w:t>
      </w:r>
    </w:p>
    <w:p>
      <w:pPr>
        <w:ind w:firstLine="560" w:firstLineChars="200"/>
        <w:rPr>
          <w:rFonts w:ascii="仿宋_GB2312" w:eastAsia="仿宋_GB2312"/>
          <w:sz w:val="28"/>
          <w:szCs w:val="28"/>
        </w:rPr>
      </w:pPr>
      <w:r>
        <w:rPr>
          <w:rFonts w:hint="eastAsia" w:ascii="仿宋_GB2312" w:eastAsia="宋体"/>
          <w:sz w:val="28"/>
          <w:szCs w:val="28"/>
        </w:rPr>
        <w:t>在交易時段，證券公司客戶可對同一期權合約進行雙向持倉（可同時持有權利倉與義務倉）。日終清算時，證券公司應對客戶的雙向頭寸自動進行對沖（取淨頭寸，優先對沖非備兌義務倉，組合策略持倉除外），並調整為單向持倉，並按單向持倉計收維持保證金。</w:t>
      </w:r>
    </w:p>
    <w:p>
      <w:pPr>
        <w:pStyle w:val="3"/>
        <w:ind w:firstLine="562"/>
      </w:pPr>
      <w:bookmarkStart w:id="343" w:name="_Toc452017040"/>
      <w:bookmarkStart w:id="344" w:name="_Toc23947175"/>
      <w:r>
        <w:rPr>
          <w:rFonts w:hint="eastAsia" w:eastAsia="宋体"/>
        </w:rPr>
        <w:t>二、清算後數據對賬</w:t>
      </w:r>
      <w:bookmarkEnd w:id="343"/>
      <w:bookmarkEnd w:id="344"/>
    </w:p>
    <w:p>
      <w:pPr>
        <w:ind w:firstLine="562" w:firstLineChars="200"/>
        <w:rPr>
          <w:rFonts w:ascii="仿宋_GB2312" w:eastAsia="仿宋_GB2312"/>
          <w:b/>
          <w:sz w:val="28"/>
          <w:szCs w:val="28"/>
        </w:rPr>
      </w:pPr>
      <w:r>
        <w:rPr>
          <w:rFonts w:hint="eastAsia" w:ascii="仿宋_GB2312" w:eastAsia="宋体"/>
          <w:b/>
          <w:sz w:val="28"/>
          <w:szCs w:val="28"/>
        </w:rPr>
        <w:t>（一）合約與證券對賬</w:t>
      </w:r>
    </w:p>
    <w:p>
      <w:pPr>
        <w:ind w:firstLine="560" w:firstLineChars="200"/>
        <w:rPr>
          <w:rFonts w:ascii="仿宋_GB2312" w:eastAsia="仿宋_GB2312"/>
          <w:sz w:val="28"/>
          <w:szCs w:val="28"/>
        </w:rPr>
      </w:pPr>
      <w:r>
        <w:rPr>
          <w:rFonts w:hint="eastAsia" w:ascii="仿宋_GB2312" w:eastAsia="宋体"/>
          <w:sz w:val="28"/>
          <w:szCs w:val="28"/>
        </w:rPr>
        <w:t>1、合約對賬：證券公司期權櫃檯系統完成交收後，將系統內客戶合約持倉數據與根據本所交易記錄生成的客戶合約持倉數據進行對賬，不平時需及時分析其原因，並做後續處理。</w:t>
      </w:r>
    </w:p>
    <w:p>
      <w:pPr>
        <w:ind w:firstLine="560" w:firstLineChars="200"/>
        <w:rPr>
          <w:rFonts w:ascii="仿宋_GB2312" w:eastAsia="仿宋_GB2312"/>
          <w:sz w:val="28"/>
          <w:szCs w:val="28"/>
        </w:rPr>
      </w:pPr>
      <w:r>
        <w:rPr>
          <w:rFonts w:hint="eastAsia" w:ascii="仿宋_GB2312" w:eastAsia="宋体"/>
          <w:sz w:val="28"/>
          <w:szCs w:val="28"/>
        </w:rPr>
        <w:t>2、標的證券對賬：證券公司的備兌證券由證券交易經紀業務櫃檯系統進行管理。該系統完成交收後，證券公司將該系統標的證券持倉數據與中國結算上海分公司發送的股份餘額數據進行對賬，不平時需及時分析其原因，並做後續處理。</w:t>
      </w:r>
    </w:p>
    <w:p>
      <w:pPr>
        <w:ind w:firstLine="562" w:firstLineChars="200"/>
        <w:rPr>
          <w:rFonts w:ascii="仿宋_GB2312" w:eastAsia="仿宋_GB2312"/>
          <w:b/>
          <w:sz w:val="28"/>
          <w:szCs w:val="28"/>
        </w:rPr>
      </w:pPr>
      <w:r>
        <w:rPr>
          <w:rFonts w:hint="eastAsia" w:ascii="仿宋_GB2312" w:eastAsia="宋体"/>
          <w:b/>
          <w:sz w:val="28"/>
          <w:szCs w:val="28"/>
        </w:rPr>
        <w:t>（二）資金對賬</w:t>
      </w:r>
    </w:p>
    <w:p>
      <w:pPr>
        <w:ind w:firstLine="560" w:firstLineChars="200"/>
        <w:rPr>
          <w:rFonts w:ascii="仿宋_GB2312" w:eastAsia="仿宋_GB2312"/>
          <w:sz w:val="28"/>
          <w:szCs w:val="28"/>
        </w:rPr>
      </w:pPr>
      <w:r>
        <w:rPr>
          <w:rFonts w:hint="eastAsia" w:ascii="仿宋_GB2312" w:eastAsia="宋体"/>
          <w:sz w:val="28"/>
          <w:szCs w:val="28"/>
        </w:rPr>
        <w:t>1、銀行頭寸賬實核對：每日清算完成後，證券公司將法人結算系統的期權銀行簿記餘額與銀行實頭寸核對，不平時需及時分析其原因，並做後續處理。</w:t>
      </w:r>
    </w:p>
    <w:p>
      <w:pPr>
        <w:ind w:firstLine="560" w:firstLineChars="200"/>
        <w:rPr>
          <w:rFonts w:ascii="仿宋_GB2312" w:eastAsia="仿宋_GB2312"/>
          <w:sz w:val="28"/>
          <w:szCs w:val="28"/>
        </w:rPr>
      </w:pPr>
      <w:r>
        <w:rPr>
          <w:rFonts w:hint="eastAsia" w:ascii="仿宋_GB2312" w:eastAsia="宋体"/>
          <w:sz w:val="28"/>
          <w:szCs w:val="28"/>
        </w:rPr>
        <w:t>2、中國結算保證金頭寸賬實核對：每日清算完成後，證券公司將法人結算系統的中國結算上海分公司股票期權保證金簿記餘額與中國結算上海分公司的股票期權保證金帳戶的實頭寸核對，做到賬實相符，不平時需及時分析其原因，並做後續處理。</w:t>
      </w:r>
    </w:p>
    <w:p>
      <w:pPr>
        <w:pStyle w:val="3"/>
        <w:ind w:firstLine="562"/>
      </w:pPr>
      <w:bookmarkStart w:id="345" w:name="_Toc452017041"/>
      <w:bookmarkStart w:id="346" w:name="_Toc23947176"/>
      <w:r>
        <w:rPr>
          <w:rFonts w:hint="eastAsia" w:eastAsia="宋体"/>
        </w:rPr>
        <w:t>三、日常交易交收</w:t>
      </w:r>
      <w:bookmarkEnd w:id="345"/>
      <w:bookmarkEnd w:id="346"/>
    </w:p>
    <w:p>
      <w:pPr>
        <w:pStyle w:val="73"/>
        <w:ind w:firstLine="560"/>
        <w:rPr>
          <w:rFonts w:ascii="仿宋_GB2312" w:eastAsia="仿宋_GB2312"/>
          <w:sz w:val="28"/>
          <w:szCs w:val="28"/>
        </w:rPr>
      </w:pPr>
      <w:r>
        <w:rPr>
          <w:rFonts w:hint="eastAsia" w:ascii="仿宋_GB2312" w:eastAsia="宋体"/>
          <w:sz w:val="28"/>
          <w:szCs w:val="28"/>
        </w:rPr>
        <w:t>T日日終，證券公司根據櫃檯系統清算結果，首先釋放每個客戶股票期權保證金帳戶內未平倉合約的維持保證金,再以單個客戶股票期權保證金帳戶為單位根據資金淨應收/付金額完成股票期權交易的資金交收，相應增加或減少客戶股票期權保證金帳戶的資金餘額，相應增加或減少客戶衍生品合約帳戶的合約持倉，相應凍結或解凍客戶備兌開平倉對應的標的證券,再根據當日結算價重新凍結維持保證金。</w:t>
      </w:r>
    </w:p>
    <w:p>
      <w:pPr>
        <w:ind w:firstLine="555"/>
        <w:rPr>
          <w:rFonts w:ascii="仿宋_GB2312" w:eastAsia="仿宋_GB2312" w:cs="仿宋_GB2312"/>
          <w:sz w:val="28"/>
          <w:szCs w:val="28"/>
        </w:rPr>
      </w:pPr>
      <w:r>
        <w:rPr>
          <w:rFonts w:hint="eastAsia" w:ascii="仿宋_GB2312" w:eastAsia="宋体" w:cs="仿宋_GB2312"/>
          <w:sz w:val="28"/>
          <w:szCs w:val="28"/>
        </w:rPr>
        <w:t>結算的具體內容，詳見中國結算發佈的《</w:t>
      </w:r>
      <w:r>
        <w:rPr>
          <w:rFonts w:hint="eastAsia" w:ascii="仿宋_GB2312" w:hAnsi="宋体" w:eastAsia="宋体"/>
          <w:sz w:val="28"/>
          <w:szCs w:val="28"/>
        </w:rPr>
        <w:t>中國證券登記結算有限責任公司關於上海證券交易所股票期權試點結算規則</w:t>
      </w:r>
      <w:r>
        <w:rPr>
          <w:rFonts w:hint="eastAsia" w:ascii="仿宋_GB2312" w:eastAsia="宋体" w:cs="仿宋_GB2312"/>
          <w:sz w:val="28"/>
          <w:szCs w:val="28"/>
        </w:rPr>
        <w:t xml:space="preserve">》。 </w:t>
      </w:r>
    </w:p>
    <w:p>
      <w:pPr>
        <w:widowControl/>
        <w:jc w:val="left"/>
        <w:rPr>
          <w:rFonts w:ascii="仿宋_GB2312" w:eastAsia="仿宋_GB2312"/>
          <w:b/>
          <w:bCs/>
          <w:sz w:val="28"/>
          <w:szCs w:val="28"/>
        </w:rPr>
      </w:pPr>
    </w:p>
    <w:p>
      <w:pPr>
        <w:pStyle w:val="3"/>
        <w:ind w:firstLine="562"/>
        <w:jc w:val="center"/>
        <w:rPr>
          <w:rFonts w:ascii="黑体" w:hAnsi="黑体" w:eastAsia="黑体"/>
          <w:sz w:val="32"/>
        </w:rPr>
      </w:pPr>
      <w:r>
        <w:br w:type="page"/>
      </w:r>
      <w:bookmarkStart w:id="347" w:name="_Toc408665053"/>
      <w:bookmarkStart w:id="348" w:name="_Toc16063"/>
      <w:bookmarkStart w:id="349" w:name="_Toc20391"/>
      <w:bookmarkStart w:id="350" w:name="_Toc4174"/>
      <w:bookmarkStart w:id="351" w:name="第十章投资者数据报备"/>
      <w:bookmarkStart w:id="352" w:name="_Toc452017042"/>
      <w:bookmarkStart w:id="353" w:name="_Toc23947177"/>
      <w:r>
        <w:rPr>
          <w:rFonts w:hint="eastAsia" w:ascii="黑体" w:hAnsi="黑体" w:eastAsia="宋体"/>
          <w:sz w:val="32"/>
        </w:rPr>
        <w:t>第十二章 投資者數據報備</w:t>
      </w:r>
      <w:bookmarkEnd w:id="347"/>
      <w:bookmarkEnd w:id="348"/>
      <w:bookmarkEnd w:id="349"/>
      <w:bookmarkEnd w:id="350"/>
      <w:bookmarkEnd w:id="351"/>
      <w:bookmarkEnd w:id="352"/>
      <w:bookmarkEnd w:id="353"/>
    </w:p>
    <w:p>
      <w:pPr>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證券公司應在每個交易日16:30之前（當日收盤之後）向上交所報備所有客戶（全量，僅經紀業務，不含自營業務）相關資訊，包括可買入額度、資金相關資訊（主要用於</w:t>
      </w:r>
      <w:r>
        <w:rPr>
          <w:rFonts w:hint="eastAsia" w:ascii="仿宋_GB2312" w:eastAsia="宋体"/>
          <w:sz w:val="28"/>
          <w:szCs w:val="28"/>
        </w:rPr>
        <w:t>上交所</w:t>
      </w:r>
      <w:r>
        <w:rPr>
          <w:rFonts w:hint="eastAsia" w:ascii="仿宋_GB2312" w:eastAsia="宋体"/>
          <w:kern w:val="0"/>
          <w:sz w:val="28"/>
          <w:szCs w:val="28"/>
          <w:lang w:val="zh-CN"/>
        </w:rPr>
        <w:t xml:space="preserve">風險控制需要，包括風險壓力測試等）等。 </w:t>
      </w:r>
    </w:p>
    <w:p>
      <w:pPr>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數據報備內容：日期、期權經營機構代碼、期權經營機構名稱、業務交易單元號、營業部代碼、合約帳戶、對應滬市證券帳戶、對應滬市E帳戶、當日衍生品資金帳戶保證金總額（結算前數據）、當日資金劃入劃出淨額（日間轉賬數據）、上一交易日衍生品可用保證金餘額、上一交易日滬市衍生品維持保證金金額（按期權經營機構保證金水準計算的）、上一交易日衍生品合約市值權益（含滬深）、上一交易日證券市值總額（不含港股通、B股外的所有證券市值，持有證券按收盤價計算）、上一交易日證券資金帳戶可用資金餘額（所有人民幣資金）、上一交易日融資融券帳戶證券總市值（含滬深,持有證券按收盤價計算）、上一交易日融資融券帳戶資金總額、上一交易日融資融券帳戶融入資金總額、上一交易日融資融券帳戶融券總市值（含滬深,持有證券按收盤價計算）、當日分級級別（自然人帳戶需填寫）、當日可買入額度。上一交易日是指結算後的相關數據。具體見相關技術介面說明書。</w:t>
      </w:r>
    </w:p>
    <w:p>
      <w:pPr>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相關指標計算公式如下：</w:t>
      </w:r>
    </w:p>
    <w:p>
      <w:pPr>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1、當日資金劃入劃出淨額=當日總資金劃入金額-當日總資金劃出金額。</w:t>
      </w:r>
    </w:p>
    <w:p>
      <w:pPr>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涉及多家銀行的應合併計算。</w:t>
      </w:r>
    </w:p>
    <w:p>
      <w:pPr>
        <w:numPr>
          <w:ilvl w:val="0"/>
          <w:numId w:val="4"/>
        </w:numPr>
        <w:ind w:firstLine="560" w:firstLineChars="200"/>
        <w:rPr>
          <w:rFonts w:ascii="仿宋_GB2312" w:eastAsia="仿宋_GB2312"/>
          <w:kern w:val="0"/>
          <w:sz w:val="28"/>
          <w:szCs w:val="28"/>
          <w:lang w:val="zh-CN"/>
        </w:rPr>
      </w:pPr>
      <w:r>
        <w:rPr>
          <w:rFonts w:hint="eastAsia" w:ascii="仿宋_GB2312" w:eastAsia="宋体"/>
          <w:kern w:val="0"/>
          <w:sz w:val="28"/>
          <w:szCs w:val="28"/>
          <w:lang w:val="zh-CN"/>
        </w:rPr>
        <w:t>衍生品合約市值權益=∑（當日合約結算價*權利倉張數*合約單位）-∑（當日合約結算價*義務倉張數（含備兌）*合約單位）。按所持有合約匯總。單位：元，保留兩位小數。</w:t>
      </w:r>
    </w:p>
    <w:p>
      <w:pPr>
        <w:ind w:firstLine="280" w:firstLineChars="100"/>
        <w:rPr>
          <w:rFonts w:ascii="仿宋_GB2312" w:eastAsia="仿宋_GB2312" w:cs="仿宋_GB2312"/>
          <w:kern w:val="0"/>
          <w:sz w:val="28"/>
          <w:szCs w:val="28"/>
        </w:rPr>
      </w:pPr>
      <w:r>
        <w:rPr>
          <w:rFonts w:hint="eastAsia" w:ascii="仿宋_GB2312" w:eastAsia="宋体"/>
          <w:kern w:val="0"/>
          <w:sz w:val="28"/>
          <w:szCs w:val="28"/>
        </w:rPr>
        <w:t xml:space="preserve">  </w:t>
      </w:r>
      <w:r>
        <w:rPr>
          <w:rFonts w:hint="eastAsia" w:ascii="仿宋_GB2312" w:eastAsia="宋体" w:cs="仿宋_GB2312"/>
          <w:kern w:val="0"/>
          <w:sz w:val="28"/>
          <w:szCs w:val="28"/>
        </w:rPr>
        <w:t>期權經營機構務必保證報備的營業部代碼與每日日終投資者數據報備檔中的營業部代碼保持一致。如需要調整營業部代碼，請通過郵箱重新報備（全量）數據至相關郵箱。</w:t>
      </w:r>
    </w:p>
    <w:p>
      <w:pPr>
        <w:ind w:firstLine="560" w:firstLineChars="200"/>
        <w:rPr>
          <w:rFonts w:ascii="仿宋_GB2312" w:eastAsia="仿宋_GB2312" w:cs="仿宋_GB2312"/>
          <w:kern w:val="0"/>
          <w:sz w:val="28"/>
          <w:szCs w:val="28"/>
        </w:rPr>
      </w:pPr>
      <w:r>
        <w:rPr>
          <w:rFonts w:hint="eastAsia" w:ascii="仿宋_GB2312" w:hAnsi="Times New Roman" w:eastAsia="宋体" w:cs="仿宋_GB2312"/>
          <w:kern w:val="0"/>
          <w:sz w:val="28"/>
          <w:szCs w:val="28"/>
        </w:rPr>
        <w:t>聯繫方式：021-68810582；</w:t>
      </w:r>
      <w:r>
        <w:rPr>
          <w:rFonts w:hint="eastAsia" w:ascii="仿宋_GB2312" w:eastAsia="宋体" w:cs="仿宋_GB2312"/>
          <w:kern w:val="0"/>
          <w:sz w:val="28"/>
          <w:szCs w:val="28"/>
        </w:rPr>
        <w:t xml:space="preserve">聯繫郵箱： </w:t>
      </w:r>
      <w:r>
        <w:fldChar w:fldCharType="begin"/>
      </w:r>
      <w:r>
        <w:instrText xml:space="preserve"> HYPERLINK "mailto:Riskdispose01@sse.com.cn" </w:instrText>
      </w:r>
      <w:r>
        <w:fldChar w:fldCharType="separate"/>
      </w:r>
      <w:r>
        <w:rPr>
          <w:rFonts w:hint="eastAsia" w:hAnsi="Times New Roman" w:eastAsia="宋体"/>
        </w:rPr>
        <w:t>Riskdispose01@sse.com.cn</w:t>
      </w:r>
      <w:r>
        <w:rPr>
          <w:rFonts w:hint="eastAsia" w:hAnsi="Times New Roman"/>
        </w:rPr>
        <w:fldChar w:fldCharType="end"/>
      </w:r>
      <w:r>
        <w:rPr>
          <w:rFonts w:hint="eastAsia" w:ascii="仿宋_GB2312" w:hAnsi="Times New Roman" w:eastAsia="宋体" w:cs="仿宋_GB2312"/>
          <w:kern w:val="0"/>
          <w:sz w:val="28"/>
          <w:szCs w:val="28"/>
        </w:rPr>
        <w:t>。</w:t>
      </w:r>
    </w:p>
    <w:p>
      <w:pPr>
        <w:ind w:firstLine="560" w:firstLineChars="200"/>
        <w:rPr>
          <w:rFonts w:ascii="仿宋_GB2312" w:eastAsia="仿宋_GB2312"/>
          <w:kern w:val="0"/>
          <w:sz w:val="28"/>
          <w:szCs w:val="28"/>
        </w:rPr>
      </w:pPr>
      <w:r>
        <w:rPr>
          <w:rFonts w:hint="eastAsia" w:ascii="仿宋_GB2312" w:eastAsia="宋体" w:cs="仿宋_GB2312"/>
          <w:kern w:val="0"/>
          <w:sz w:val="28"/>
          <w:szCs w:val="28"/>
        </w:rPr>
        <w:t>期權經營機構需加強對每日日終投資者數據檔報送的管理，確保報送數據的及時性和準確性。本所將定期對報送檔進行核查，若發現有錯報或漏報的情況，將視情況採取相關的監管措施。</w:t>
      </w:r>
    </w:p>
    <w:p>
      <w:pPr>
        <w:rPr>
          <w:rFonts w:ascii="仿宋_GB2312" w:eastAsia="仿宋_GB2312"/>
          <w:sz w:val="28"/>
          <w:szCs w:val="28"/>
        </w:rPr>
      </w:pPr>
      <w:r>
        <w:rPr>
          <w:rFonts w:hint="eastAsia" w:ascii="仿宋_GB2312" w:eastAsia="宋体"/>
          <w:kern w:val="0"/>
          <w:sz w:val="28"/>
          <w:szCs w:val="28"/>
        </w:rPr>
        <w:t xml:space="preserve">   </w:t>
      </w:r>
      <w:r>
        <w:rPr>
          <w:rFonts w:hint="eastAsia" w:ascii="仿宋_GB2312" w:eastAsia="宋体"/>
          <w:b/>
          <w:bCs/>
          <w:kern w:val="0"/>
          <w:sz w:val="28"/>
          <w:szCs w:val="28"/>
        </w:rPr>
        <w:t xml:space="preserve"> </w:t>
      </w:r>
      <w:r>
        <w:rPr>
          <w:rFonts w:hint="eastAsia" w:ascii="仿宋_GB2312" w:eastAsia="宋体"/>
          <w:sz w:val="28"/>
          <w:szCs w:val="28"/>
        </w:rPr>
        <w:t>此外，證券公司每週一17:00前通過股票期權交易參與人業務管理系統向本所報備持倉限額情況。聯繫方式：021-</w:t>
      </w:r>
      <w:r>
        <w:rPr>
          <w:rFonts w:ascii="仿宋_GB2312" w:eastAsia="宋体"/>
          <w:sz w:val="28"/>
          <w:szCs w:val="28"/>
        </w:rPr>
        <w:t>68811322</w:t>
      </w:r>
      <w:r>
        <w:rPr>
          <w:rFonts w:hint="eastAsia" w:ascii="仿宋_GB2312" w:eastAsia="宋体"/>
          <w:sz w:val="28"/>
          <w:szCs w:val="28"/>
        </w:rPr>
        <w:t>。</w:t>
      </w:r>
    </w:p>
    <w:p>
      <w:pPr>
        <w:ind w:firstLine="560" w:firstLineChars="200"/>
        <w:rPr>
          <w:rFonts w:ascii="仿宋_GB2312" w:eastAsia="仿宋_GB2312"/>
          <w:kern w:val="0"/>
          <w:sz w:val="28"/>
          <w:szCs w:val="28"/>
        </w:rPr>
      </w:pPr>
    </w:p>
    <w:p>
      <w:pPr>
        <w:spacing w:beforeLines="50" w:afterLines="50"/>
        <w:jc w:val="center"/>
        <w:outlineLvl w:val="0"/>
        <w:rPr>
          <w:rFonts w:ascii="仿宋_GB2312" w:eastAsia="仿宋_GB2312"/>
          <w:b/>
          <w:bCs/>
          <w:sz w:val="28"/>
          <w:szCs w:val="28"/>
        </w:rPr>
      </w:pPr>
      <w:r>
        <w:rPr>
          <w:rFonts w:hint="eastAsia" w:ascii="仿宋_GB2312" w:eastAsia="仿宋_GB2312"/>
          <w:kern w:val="0"/>
          <w:sz w:val="28"/>
          <w:szCs w:val="28"/>
          <w:lang w:val="zh-CN"/>
        </w:rPr>
        <w:br w:type="page"/>
      </w:r>
      <w:bookmarkStart w:id="354" w:name="_Toc408665054"/>
      <w:bookmarkStart w:id="355" w:name="_Toc30794"/>
      <w:bookmarkStart w:id="356" w:name="_Toc29570"/>
      <w:bookmarkStart w:id="357" w:name="_Toc689"/>
      <w:bookmarkStart w:id="358" w:name="第十一章程序交易报备"/>
      <w:bookmarkStart w:id="359" w:name="_Toc452017043"/>
      <w:bookmarkStart w:id="360" w:name="_Toc23947178"/>
      <w:r>
        <w:rPr>
          <w:rStyle w:val="42"/>
          <w:rFonts w:hint="eastAsia" w:ascii="黑体" w:hAnsi="黑体" w:eastAsia="宋体"/>
          <w:sz w:val="32"/>
        </w:rPr>
        <w:t>第十三章 程式交易報備</w:t>
      </w:r>
      <w:bookmarkEnd w:id="354"/>
      <w:bookmarkEnd w:id="355"/>
      <w:bookmarkEnd w:id="356"/>
      <w:bookmarkEnd w:id="357"/>
      <w:bookmarkEnd w:id="358"/>
      <w:bookmarkEnd w:id="359"/>
      <w:bookmarkEnd w:id="360"/>
    </w:p>
    <w:p>
      <w:pPr>
        <w:spacing w:before="120" w:after="120"/>
        <w:ind w:firstLine="560" w:firstLineChars="200"/>
        <w:rPr>
          <w:rFonts w:ascii="仿宋_GB2312" w:eastAsia="仿宋_GB2312"/>
          <w:kern w:val="0"/>
          <w:sz w:val="28"/>
          <w:szCs w:val="28"/>
        </w:rPr>
      </w:pPr>
      <w:r>
        <w:rPr>
          <w:rFonts w:hint="eastAsia" w:ascii="仿宋_GB2312" w:eastAsia="宋体"/>
          <w:kern w:val="0"/>
          <w:sz w:val="28"/>
          <w:szCs w:val="28"/>
          <w:lang w:val="zh-CN"/>
        </w:rPr>
        <w:t>上交所對程式交易帳戶實行報備制度，要求證券公司事先向上交所上報客戶計畫使用的程式交易軟體及帳戶相關資訊。證券公司單個、多個帳戶使用交易軟體實現自動下單或者快速下單等功能，即非通過人工介面逐筆或逐個組合操作的，即被視為程式交易。</w:t>
      </w:r>
    </w:p>
    <w:p>
      <w:pPr>
        <w:pStyle w:val="3"/>
        <w:ind w:firstLine="562"/>
        <w:rPr>
          <w:kern w:val="0"/>
        </w:rPr>
      </w:pPr>
      <w:bookmarkStart w:id="361" w:name="一、程序交易接入管理要求"/>
      <w:bookmarkStart w:id="362" w:name="_Toc452017044"/>
      <w:bookmarkStart w:id="363" w:name="_Toc23947179"/>
      <w:r>
        <w:rPr>
          <w:rFonts w:hint="eastAsia" w:eastAsia="宋体"/>
          <w:kern w:val="0"/>
        </w:rPr>
        <w:t>一、程式交易接入管理要求</w:t>
      </w:r>
      <w:bookmarkEnd w:id="361"/>
      <w:bookmarkEnd w:id="362"/>
      <w:bookmarkEnd w:id="363"/>
    </w:p>
    <w:p>
      <w:pPr>
        <w:spacing w:before="120" w:after="120"/>
        <w:ind w:firstLine="560" w:firstLineChars="200"/>
        <w:rPr>
          <w:rFonts w:ascii="仿宋_GB2312" w:eastAsia="仿宋_GB2312" w:cs="仿宋_GB2312"/>
          <w:kern w:val="0"/>
          <w:sz w:val="28"/>
          <w:szCs w:val="28"/>
        </w:rPr>
      </w:pPr>
      <w:r>
        <w:rPr>
          <w:rFonts w:hint="eastAsia" w:ascii="仿宋_GB2312" w:eastAsia="宋体" w:cs="仿宋_GB2312"/>
          <w:kern w:val="0"/>
          <w:sz w:val="28"/>
          <w:szCs w:val="28"/>
        </w:rPr>
        <w:t>證券公司應當建立程式交易接入管理制度，明確客戶進行程式交易的相關要求和管理機制，對客戶進行程式交易實行嚴格的接入和認證管理。期權經營機構應當根據程式交易管理制度，對客戶使用自有、第三方提供或者期權經營機構提供的交易軟體或者介面進行程式交易的申請，進行審核、測試及認證，對符合條件的客戶開通程式交易許可權，並與客戶簽署程式交易業務協議，明確各自的權利、義務。客戶未提出程式交易申請或者未通過認證的，證券公司不得為其開通程式交易許可權。客戶未開通程式交易許可權即自行開展程式交易的，證券公司發現後應當及時予以制止，並向本所報告。</w:t>
      </w:r>
    </w:p>
    <w:p>
      <w:pPr>
        <w:spacing w:before="120" w:after="120"/>
        <w:ind w:firstLine="560" w:firstLineChars="200"/>
        <w:rPr>
          <w:rFonts w:ascii="仿宋_GB2312" w:eastAsia="仿宋_GB2312" w:cs="仿宋_GB2312"/>
          <w:kern w:val="0"/>
          <w:sz w:val="28"/>
          <w:szCs w:val="28"/>
        </w:rPr>
      </w:pPr>
      <w:r>
        <w:rPr>
          <w:rFonts w:hint="eastAsia" w:ascii="仿宋_GB2312" w:eastAsia="宋体" w:cs="仿宋_GB2312"/>
          <w:kern w:val="0"/>
          <w:sz w:val="28"/>
          <w:szCs w:val="28"/>
        </w:rPr>
        <w:t>證券公司應當為已開通程式交易許可權的客戶設置專門的接入櫃檯系統的委託通道，並和未開通程式交易許可權的客戶接入櫃檯系統的委託通道實行隔離管理。</w:t>
      </w:r>
    </w:p>
    <w:p>
      <w:pPr>
        <w:pStyle w:val="3"/>
        <w:ind w:firstLine="562"/>
        <w:rPr>
          <w:kern w:val="0"/>
        </w:rPr>
      </w:pPr>
      <w:bookmarkStart w:id="364" w:name="_Toc452017045"/>
      <w:bookmarkStart w:id="365" w:name="_Toc23947180"/>
      <w:bookmarkStart w:id="366" w:name="二、报序交易报备管理要求"/>
      <w:r>
        <w:rPr>
          <w:rFonts w:hint="eastAsia" w:eastAsia="宋体"/>
          <w:kern w:val="0"/>
        </w:rPr>
        <w:t>二、程式交易報備管理要求</w:t>
      </w:r>
      <w:bookmarkEnd w:id="364"/>
      <w:bookmarkEnd w:id="365"/>
    </w:p>
    <w:bookmarkEnd w:id="366"/>
    <w:p>
      <w:pPr>
        <w:spacing w:before="120" w:after="120"/>
        <w:ind w:firstLine="560" w:firstLineChars="200"/>
        <w:rPr>
          <w:rFonts w:ascii="仿宋_GB2312" w:eastAsia="仿宋_GB2312"/>
          <w:kern w:val="0"/>
          <w:sz w:val="28"/>
          <w:szCs w:val="28"/>
        </w:rPr>
      </w:pPr>
      <w:r>
        <w:rPr>
          <w:rFonts w:hint="eastAsia" w:ascii="仿宋_GB2312" w:eastAsia="宋体" w:cs="仿宋_GB2312"/>
          <w:kern w:val="0"/>
          <w:sz w:val="28"/>
          <w:szCs w:val="28"/>
        </w:rPr>
        <w:t>客戶申請使用自有、第三方或者期權經營機構提供的交易軟體或者介面進行程式交易，證券公司經審核、認證後擬為其開通程式交易許可權的，應當嚴格落實程式交易的備案要求，提前五個交易日向本所進行</w:t>
      </w:r>
      <w:r>
        <w:rPr>
          <w:rFonts w:hint="eastAsia" w:ascii="仿宋_GB2312" w:eastAsia="宋体"/>
          <w:kern w:val="0"/>
          <w:sz w:val="28"/>
          <w:szCs w:val="28"/>
          <w:lang w:val="zh-CN"/>
        </w:rPr>
        <w:t>報備，</w:t>
      </w:r>
      <w:r>
        <w:rPr>
          <w:rFonts w:hint="eastAsia" w:ascii="仿宋_GB2312" w:hAnsi="Times New Roman" w:eastAsia="宋体" w:cs="仿宋_GB2312"/>
          <w:kern w:val="0"/>
          <w:sz w:val="28"/>
          <w:szCs w:val="28"/>
        </w:rPr>
        <w:t>提交《</w:t>
      </w:r>
      <w:r>
        <w:rPr>
          <w:rFonts w:hint="eastAsia" w:ascii="仿宋_GB2312" w:eastAsia="宋体" w:cs="宋体"/>
          <w:kern w:val="0"/>
          <w:sz w:val="28"/>
          <w:szCs w:val="28"/>
        </w:rPr>
        <w:t>股票期權業務程式交易報備表</w:t>
      </w:r>
      <w:r>
        <w:rPr>
          <w:rFonts w:hint="eastAsia" w:ascii="仿宋_GB2312" w:hAnsi="Times New Roman" w:eastAsia="宋体" w:cs="仿宋_GB2312"/>
          <w:kern w:val="0"/>
          <w:sz w:val="28"/>
          <w:szCs w:val="28"/>
        </w:rPr>
        <w:t>》</w:t>
      </w:r>
      <w:r>
        <w:rPr>
          <w:rFonts w:hint="eastAsia" w:ascii="仿宋_GB2312" w:eastAsia="宋体" w:cs="宋体"/>
          <w:kern w:val="0"/>
          <w:sz w:val="28"/>
          <w:szCs w:val="28"/>
        </w:rPr>
        <w:t>（詳見附件二）。</w:t>
      </w:r>
      <w:r>
        <w:rPr>
          <w:rFonts w:hint="eastAsia" w:ascii="仿宋_GB2312" w:eastAsia="宋体"/>
          <w:color w:val="000000"/>
          <w:sz w:val="28"/>
          <w:szCs w:val="28"/>
        </w:rPr>
        <w:t>證券公司</w:t>
      </w:r>
      <w:r>
        <w:rPr>
          <w:rFonts w:hint="eastAsia" w:ascii="仿宋_GB2312" w:eastAsia="宋体"/>
          <w:kern w:val="0"/>
          <w:sz w:val="28"/>
          <w:szCs w:val="28"/>
          <w:lang w:val="zh-CN"/>
        </w:rPr>
        <w:t>可在每個交易日15:00至17:00進行程式交易報備。</w:t>
      </w:r>
    </w:p>
    <w:p>
      <w:pPr>
        <w:spacing w:beforeLines="50" w:afterLines="50"/>
        <w:ind w:firstLine="504" w:firstLineChars="180"/>
        <w:rPr>
          <w:rFonts w:ascii="仿宋_GB2312" w:eastAsia="仿宋_GB2312"/>
          <w:b/>
          <w:sz w:val="28"/>
          <w:szCs w:val="28"/>
        </w:rPr>
      </w:pPr>
      <w:bookmarkStart w:id="367" w:name="_Toc408665057"/>
      <w:r>
        <w:rPr>
          <w:rFonts w:hint="eastAsia" w:ascii="仿宋_GB2312" w:eastAsia="宋体"/>
          <w:kern w:val="0"/>
          <w:sz w:val="28"/>
          <w:szCs w:val="28"/>
        </w:rPr>
        <w:t>對於證券公司存在不報、漏報、未及時報備程式交易等情況的，上交所可根據情節輕重，採取書面警示、監管談話等監管措施或者紀律處分措施。</w:t>
      </w:r>
    </w:p>
    <w:p>
      <w:pPr>
        <w:pStyle w:val="3"/>
        <w:ind w:firstLine="562"/>
      </w:pPr>
      <w:bookmarkStart w:id="368" w:name="_Toc18387"/>
      <w:bookmarkStart w:id="369" w:name="_Toc27227"/>
      <w:bookmarkStart w:id="370" w:name="_Toc15551"/>
      <w:bookmarkStart w:id="371" w:name="三、程序升级报备"/>
      <w:bookmarkStart w:id="372" w:name="_Toc452017046"/>
      <w:bookmarkStart w:id="373" w:name="_Toc23947181"/>
      <w:r>
        <w:rPr>
          <w:rFonts w:hint="eastAsia" w:eastAsia="宋体"/>
        </w:rPr>
        <w:t>三、變更報備</w:t>
      </w:r>
      <w:bookmarkEnd w:id="367"/>
      <w:bookmarkEnd w:id="368"/>
      <w:bookmarkEnd w:id="369"/>
      <w:bookmarkEnd w:id="370"/>
      <w:bookmarkEnd w:id="371"/>
      <w:bookmarkEnd w:id="372"/>
      <w:bookmarkEnd w:id="373"/>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已報備的程式交易帳戶發生以下資訊變更時，證券公司應當提前5個交易日向本所進行資訊變更報備：</w:t>
      </w:r>
      <w:r>
        <w:rPr>
          <w:rFonts w:ascii="仿宋_GB2312" w:eastAsia="宋体"/>
          <w:bCs/>
          <w:kern w:val="0"/>
          <w:sz w:val="28"/>
          <w:szCs w:val="28"/>
        </w:rPr>
        <w:t xml:space="preserve"> </w:t>
      </w:r>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（一）機構帳戶資金來源發生變更；</w:t>
      </w:r>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（二）機構帳戶實際控制人發生變更；</w:t>
      </w:r>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（三）機構帳戶主要交易員資訊發生變更；</w:t>
      </w:r>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（四）交易系統或下單系統伺服器所在城市發生變更；</w:t>
      </w:r>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（五）程式交易軟體資訊發生重大變更；</w:t>
      </w:r>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（六）其他重大資訊變更。</w:t>
      </w:r>
    </w:p>
    <w:p>
      <w:pPr>
        <w:pStyle w:val="3"/>
        <w:ind w:firstLine="562"/>
        <w:rPr>
          <w:kern w:val="0"/>
          <w:lang w:val="zh-CN"/>
        </w:rPr>
      </w:pPr>
      <w:bookmarkStart w:id="374" w:name="四、程序交易的监管"/>
      <w:bookmarkStart w:id="375" w:name="_Toc452017047"/>
      <w:bookmarkStart w:id="376" w:name="_Toc23947182"/>
      <w:r>
        <w:rPr>
          <w:rFonts w:hint="eastAsia" w:eastAsia="宋体"/>
          <w:kern w:val="0"/>
          <w:lang w:val="zh-CN"/>
        </w:rPr>
        <w:t>四、程式交易的監管</w:t>
      </w:r>
      <w:bookmarkEnd w:id="374"/>
      <w:bookmarkEnd w:id="375"/>
      <w:bookmarkEnd w:id="376"/>
    </w:p>
    <w:p>
      <w:pPr>
        <w:autoSpaceDE w:val="0"/>
        <w:autoSpaceDN w:val="0"/>
        <w:adjustRightInd w:val="0"/>
        <w:spacing w:line="360" w:lineRule="auto"/>
        <w:ind w:firstLine="560" w:firstLineChars="200"/>
        <w:rPr>
          <w:rFonts w:ascii="仿宋_GB2312" w:eastAsia="仿宋_GB2312" w:cs="仿宋_GB2312"/>
          <w:bCs/>
          <w:sz w:val="28"/>
          <w:szCs w:val="44"/>
        </w:rPr>
      </w:pPr>
      <w:r>
        <w:rPr>
          <w:rFonts w:hint="eastAsia" w:ascii="仿宋_GB2312" w:eastAsia="宋体" w:cs="仿宋_GB2312"/>
          <w:bCs/>
          <w:sz w:val="28"/>
          <w:szCs w:val="44"/>
        </w:rPr>
        <w:t>本所對證券公司提交的報備材料進行核查，發現資訊不全或存有疑義的，將在收到報備材料的5個交易日內向證券公司進行回饋，要求補充材料或進行相關解釋。證券公司在5個交易日內未收到本所回饋的，報備帳戶可於報送之日起5個交易日後進行股票期權程式交易。</w:t>
      </w:r>
    </w:p>
    <w:p>
      <w:pPr>
        <w:autoSpaceDE w:val="0"/>
        <w:autoSpaceDN w:val="0"/>
        <w:adjustRightInd w:val="0"/>
        <w:spacing w:line="360" w:lineRule="auto"/>
        <w:ind w:firstLine="560" w:firstLineChars="200"/>
        <w:rPr>
          <w:rFonts w:ascii="仿宋_GB2312" w:eastAsia="仿宋_GB2312" w:cs="仿宋_GB2312"/>
          <w:bCs/>
          <w:sz w:val="28"/>
          <w:szCs w:val="44"/>
        </w:rPr>
      </w:pPr>
      <w:r>
        <w:rPr>
          <w:rFonts w:hint="eastAsia" w:ascii="仿宋_GB2312" w:eastAsia="宋体" w:cs="仿宋_GB2312"/>
          <w:bCs/>
          <w:sz w:val="28"/>
          <w:szCs w:val="44"/>
        </w:rPr>
        <w:t>投資者可以通過證券公司向本所申請撤銷程式交易帳戶報備，撤銷報備後的帳戶在再次報備前不得進行程式交易。</w:t>
      </w:r>
    </w:p>
    <w:p>
      <w:pPr>
        <w:spacing w:before="120" w:after="120"/>
        <w:ind w:firstLine="560" w:firstLineChars="200"/>
        <w:rPr>
          <w:rFonts w:ascii="仿宋_GB2312" w:eastAsia="仿宋_GB2312" w:cs="仿宋_GB2312"/>
          <w:kern w:val="0"/>
          <w:sz w:val="28"/>
          <w:szCs w:val="28"/>
        </w:rPr>
      </w:pPr>
      <w:r>
        <w:rPr>
          <w:rFonts w:hint="eastAsia" w:ascii="仿宋_GB2312" w:eastAsia="宋体" w:cs="仿宋_GB2312"/>
          <w:kern w:val="0"/>
          <w:sz w:val="28"/>
          <w:szCs w:val="28"/>
        </w:rPr>
        <w:t>證券公司應當加強對程式交易的運行監控，並針對客戶程式交易可能發生的異常情況，建立預防、發現與處置機制，自覺維護期權交易的正常秩序。</w:t>
      </w:r>
    </w:p>
    <w:p>
      <w:pPr>
        <w:spacing w:before="120" w:after="120"/>
        <w:ind w:firstLine="560" w:firstLineChars="200"/>
        <w:rPr>
          <w:rFonts w:ascii="仿宋_GB2312" w:eastAsia="仿宋_GB2312" w:cs="仿宋_GB2312"/>
          <w:kern w:val="0"/>
          <w:sz w:val="28"/>
          <w:szCs w:val="28"/>
        </w:rPr>
      </w:pPr>
      <w:r>
        <w:rPr>
          <w:rFonts w:hint="eastAsia" w:ascii="仿宋_GB2312" w:eastAsia="宋体" w:cs="仿宋_GB2312"/>
          <w:kern w:val="0"/>
          <w:sz w:val="28"/>
          <w:szCs w:val="28"/>
        </w:rPr>
        <w:t>客戶進行程式交易出現或者可能出現異常的，期權經營機構應當按照與客戶的約定，及時採取應急處置措施，包括但不限於限制客戶交易許可權、為客戶提供緊急撤單服務等。</w:t>
      </w:r>
    </w:p>
    <w:p>
      <w:pPr>
        <w:spacing w:before="120" w:after="120"/>
        <w:ind w:firstLine="643" w:firstLineChars="200"/>
        <w:jc w:val="center"/>
        <w:rPr>
          <w:rStyle w:val="42"/>
        </w:rPr>
      </w:pPr>
      <w:bookmarkStart w:id="377" w:name="_Toc4589"/>
      <w:bookmarkStart w:id="378" w:name="_Toc5055"/>
      <w:bookmarkStart w:id="379" w:name="_Toc17058"/>
      <w:bookmarkStart w:id="380" w:name="_Toc408665059"/>
      <w:bookmarkStart w:id="381" w:name="第十二章大户报告"/>
      <w:bookmarkStart w:id="382" w:name="大户报告"/>
      <w:bookmarkStart w:id="383" w:name="第十四章大户报告"/>
      <w:bookmarkStart w:id="384" w:name="七六"/>
      <w:bookmarkStart w:id="385" w:name="_Toc23947183"/>
      <w:r>
        <w:rPr>
          <w:rStyle w:val="42"/>
          <w:rFonts w:hint="eastAsia" w:ascii="黑体" w:hAnsi="黑体" w:eastAsia="宋体"/>
          <w:sz w:val="32"/>
        </w:rPr>
        <w:t>第十四章  大戶報告</w:t>
      </w:r>
      <w:bookmarkEnd w:id="377"/>
      <w:bookmarkEnd w:id="378"/>
      <w:bookmarkEnd w:id="379"/>
      <w:bookmarkEnd w:id="380"/>
      <w:bookmarkEnd w:id="381"/>
      <w:bookmarkEnd w:id="382"/>
      <w:bookmarkEnd w:id="383"/>
      <w:bookmarkEnd w:id="384"/>
      <w:bookmarkEnd w:id="385"/>
    </w:p>
    <w:p>
      <w:pPr>
        <w:ind w:firstLine="560" w:firstLineChars="200"/>
        <w:rPr>
          <w:rFonts w:ascii="仿宋_GB2312" w:eastAsia="仿宋_GB2312"/>
          <w:sz w:val="28"/>
          <w:szCs w:val="28"/>
        </w:rPr>
      </w:pPr>
      <w:r>
        <w:rPr>
          <w:rFonts w:hint="eastAsia" w:ascii="仿宋_GB2312" w:eastAsia="宋体"/>
          <w:sz w:val="28"/>
          <w:szCs w:val="28"/>
        </w:rPr>
        <w:t>期權交易實行大戶持倉報告制度。上交所可根據市場風險狀況要求期權經營機構或投資者進行報告。</w:t>
      </w:r>
    </w:p>
    <w:p>
      <w:pPr>
        <w:ind w:firstLine="562" w:firstLineChars="200"/>
        <w:rPr>
          <w:rFonts w:ascii="仿宋_GB2312" w:eastAsia="仿宋_GB2312"/>
          <w:b/>
          <w:bCs/>
          <w:sz w:val="28"/>
          <w:szCs w:val="28"/>
        </w:rPr>
      </w:pPr>
      <w:r>
        <w:rPr>
          <w:rFonts w:hint="eastAsia" w:ascii="仿宋_GB2312" w:eastAsia="宋体"/>
          <w:b/>
          <w:bCs/>
          <w:sz w:val="28"/>
          <w:szCs w:val="28"/>
        </w:rPr>
        <w:t>（一）報告要求和報告材料</w:t>
      </w:r>
    </w:p>
    <w:p>
      <w:pPr>
        <w:ind w:firstLine="565" w:firstLineChars="202"/>
        <w:rPr>
          <w:rFonts w:ascii="仿宋_GB2312" w:eastAsia="仿宋_GB2312"/>
          <w:sz w:val="28"/>
          <w:szCs w:val="28"/>
        </w:rPr>
      </w:pPr>
      <w:r>
        <w:rPr>
          <w:rFonts w:hint="eastAsia" w:ascii="仿宋_GB2312" w:eastAsia="宋体"/>
          <w:sz w:val="28"/>
          <w:szCs w:val="28"/>
        </w:rPr>
        <w:t>上交所認為有必要時，可以要求證券公司的客戶向上交所報告其資金情況、頭寸情況、交易用途等，提供以下材料：</w:t>
      </w:r>
    </w:p>
    <w:p>
      <w:pPr>
        <w:ind w:firstLine="560" w:firstLineChars="200"/>
        <w:rPr>
          <w:rFonts w:ascii="仿宋_GB2312" w:eastAsia="仿宋_GB2312"/>
          <w:sz w:val="28"/>
          <w:szCs w:val="28"/>
        </w:rPr>
      </w:pPr>
      <w:r>
        <w:rPr>
          <w:rFonts w:hint="eastAsia" w:ascii="仿宋_GB2312" w:eastAsia="宋体"/>
          <w:sz w:val="28"/>
          <w:szCs w:val="28"/>
        </w:rPr>
        <w:t>1、《大戶持倉報告表》（詳見附件三）；</w:t>
      </w:r>
    </w:p>
    <w:p>
      <w:pPr>
        <w:ind w:firstLine="560" w:firstLineChars="200"/>
        <w:rPr>
          <w:rFonts w:ascii="仿宋_GB2312" w:eastAsia="仿宋_GB2312"/>
          <w:sz w:val="28"/>
          <w:szCs w:val="28"/>
        </w:rPr>
      </w:pPr>
      <w:r>
        <w:rPr>
          <w:rFonts w:hint="eastAsia" w:ascii="仿宋_GB2312" w:eastAsia="宋体"/>
          <w:sz w:val="28"/>
          <w:szCs w:val="28"/>
        </w:rPr>
        <w:t>2、資金來源說明；</w:t>
      </w:r>
    </w:p>
    <w:p>
      <w:pPr>
        <w:ind w:firstLine="560" w:firstLineChars="200"/>
        <w:rPr>
          <w:rFonts w:ascii="仿宋_GB2312" w:eastAsia="仿宋_GB2312"/>
          <w:sz w:val="28"/>
          <w:szCs w:val="28"/>
        </w:rPr>
      </w:pPr>
      <w:r>
        <w:rPr>
          <w:rFonts w:hint="eastAsia" w:ascii="仿宋_GB2312" w:eastAsia="宋体"/>
          <w:sz w:val="28"/>
          <w:szCs w:val="28"/>
        </w:rPr>
        <w:t>3、法人投資者的實際控制人資料；</w:t>
      </w:r>
    </w:p>
    <w:p>
      <w:pPr>
        <w:ind w:firstLine="560" w:firstLineChars="200"/>
        <w:rPr>
          <w:rFonts w:ascii="仿宋_GB2312" w:eastAsia="仿宋_GB2312"/>
          <w:sz w:val="28"/>
          <w:szCs w:val="28"/>
        </w:rPr>
      </w:pPr>
      <w:r>
        <w:rPr>
          <w:rFonts w:hint="eastAsia" w:ascii="仿宋_GB2312" w:eastAsia="宋体"/>
          <w:sz w:val="28"/>
          <w:szCs w:val="28"/>
        </w:rPr>
        <w:t>4、開戶資料及當日結算單據；</w:t>
      </w:r>
    </w:p>
    <w:p>
      <w:pPr>
        <w:ind w:firstLine="560" w:firstLineChars="200"/>
        <w:rPr>
          <w:rFonts w:ascii="仿宋_GB2312" w:eastAsia="仿宋_GB2312"/>
          <w:sz w:val="28"/>
          <w:szCs w:val="28"/>
        </w:rPr>
      </w:pPr>
      <w:r>
        <w:rPr>
          <w:rFonts w:hint="eastAsia" w:ascii="仿宋_GB2312" w:eastAsia="宋体"/>
          <w:sz w:val="28"/>
          <w:szCs w:val="28"/>
        </w:rPr>
        <w:t>5、持倉意向，包括行權意願與可能被行權準備情況說明；</w:t>
      </w:r>
    </w:p>
    <w:p>
      <w:pPr>
        <w:ind w:firstLine="560" w:firstLineChars="200"/>
        <w:rPr>
          <w:rFonts w:ascii="仿宋_GB2312" w:eastAsia="仿宋_GB2312"/>
          <w:sz w:val="28"/>
          <w:szCs w:val="28"/>
        </w:rPr>
      </w:pPr>
      <w:r>
        <w:rPr>
          <w:rFonts w:hint="eastAsia" w:ascii="仿宋_GB2312" w:eastAsia="宋体"/>
          <w:sz w:val="28"/>
          <w:szCs w:val="28"/>
        </w:rPr>
        <w:t>6、交易所要求提供的其他資料。</w:t>
      </w:r>
    </w:p>
    <w:p>
      <w:pPr>
        <w:ind w:firstLine="565" w:firstLineChars="202"/>
        <w:rPr>
          <w:rFonts w:ascii="仿宋_GB2312" w:eastAsia="仿宋_GB2312"/>
          <w:sz w:val="28"/>
          <w:szCs w:val="28"/>
        </w:rPr>
      </w:pPr>
      <w:r>
        <w:rPr>
          <w:rFonts w:hint="eastAsia" w:ascii="仿宋_GB2312" w:eastAsia="宋体" w:cs="宋体"/>
          <w:kern w:val="0"/>
          <w:sz w:val="28"/>
          <w:szCs w:val="28"/>
        </w:rPr>
        <w:t xml:space="preserve"> </w:t>
      </w:r>
      <w:r>
        <w:rPr>
          <w:rFonts w:hint="eastAsia" w:ascii="仿宋_GB2312" w:eastAsia="宋体"/>
          <w:sz w:val="28"/>
          <w:szCs w:val="28"/>
        </w:rPr>
        <w:t>（二）報告注意事項</w:t>
      </w:r>
    </w:p>
    <w:p>
      <w:pPr>
        <w:ind w:firstLine="560" w:firstLineChars="200"/>
        <w:rPr>
          <w:rFonts w:ascii="仿宋_GB2312" w:eastAsia="仿宋_GB2312"/>
          <w:sz w:val="28"/>
          <w:szCs w:val="28"/>
        </w:rPr>
      </w:pPr>
      <w:r>
        <w:rPr>
          <w:rFonts w:hint="eastAsia" w:ascii="仿宋_GB2312" w:eastAsia="宋体"/>
          <w:sz w:val="28"/>
          <w:szCs w:val="28"/>
        </w:rPr>
        <w:t>1、計算大戶持倉報告標準時，對同一個投資者、證券公司持有的一個或多個合約帳戶中的所有持倉進行合併計算。</w:t>
      </w:r>
    </w:p>
    <w:p>
      <w:pPr>
        <w:ind w:firstLine="560" w:firstLineChars="200"/>
        <w:rPr>
          <w:rFonts w:ascii="仿宋_GB2312" w:eastAsia="仿宋_GB2312"/>
          <w:sz w:val="28"/>
          <w:szCs w:val="28"/>
        </w:rPr>
      </w:pPr>
      <w:r>
        <w:rPr>
          <w:rFonts w:hint="eastAsia" w:ascii="仿宋_GB2312" w:eastAsia="宋体"/>
          <w:sz w:val="28"/>
          <w:szCs w:val="28"/>
        </w:rPr>
        <w:t>2、投資者被交易所要求報告的，交易所將大戶報告表發送至證券公司或特殊客戶（如基金等）。若報告主體是投資者的，由證券公司發送至客戶（對同一投資者在多家期權經營機構開立合約帳戶的，上交所根據投資者持倉大小選擇期權經營機構）。投資者、證券公司應當於下一交易日15:00前及時向交易所報告。</w:t>
      </w:r>
    </w:p>
    <w:p>
      <w:pPr>
        <w:ind w:firstLine="560" w:firstLineChars="200"/>
        <w:rPr>
          <w:rFonts w:ascii="仿宋_GB2312" w:eastAsia="仿宋_GB2312"/>
          <w:sz w:val="28"/>
          <w:szCs w:val="28"/>
        </w:rPr>
      </w:pPr>
      <w:r>
        <w:rPr>
          <w:rFonts w:hint="eastAsia" w:ascii="仿宋_GB2312" w:eastAsia="宋体"/>
          <w:sz w:val="28"/>
          <w:szCs w:val="28"/>
        </w:rPr>
        <w:t>3、特殊客戶（如基金等）可直接向交易所報告，其他客戶由證券公司代為向交易所報告，證券公司應對客戶提供的資料進行審核，並保證客戶所提供資料的真實性和準確性。客戶未按要求報告的，證券公司應當向交易所報告該客戶持倉情況。</w:t>
      </w:r>
    </w:p>
    <w:p>
      <w:pPr>
        <w:ind w:firstLine="560" w:firstLineChars="200"/>
        <w:rPr>
          <w:rFonts w:ascii="仿宋_GB2312" w:eastAsia="仿宋_GB2312"/>
          <w:sz w:val="28"/>
          <w:szCs w:val="28"/>
        </w:rPr>
      </w:pPr>
      <w:r>
        <w:rPr>
          <w:rFonts w:hint="eastAsia" w:ascii="仿宋_GB2312" w:eastAsia="宋体"/>
          <w:sz w:val="28"/>
          <w:szCs w:val="28"/>
        </w:rPr>
        <w:t>4、交易所對證券公司或者投資者提供的資料進行核查後，將視情況通知證券公司或客戶再次報告或者補充報告。</w:t>
      </w:r>
    </w:p>
    <w:p>
      <w:pPr>
        <w:spacing w:beforeLines="50" w:afterLines="50"/>
        <w:jc w:val="center"/>
        <w:outlineLvl w:val="0"/>
        <w:rPr>
          <w:rStyle w:val="42"/>
        </w:rPr>
      </w:pPr>
      <w:r>
        <w:rPr>
          <w:rFonts w:hint="eastAsia" w:ascii="仿宋_GB2312" w:eastAsia="仿宋_GB2312"/>
          <w:b/>
          <w:bCs/>
          <w:sz w:val="28"/>
          <w:szCs w:val="28"/>
        </w:rPr>
        <w:br w:type="page"/>
      </w:r>
      <w:bookmarkStart w:id="386" w:name="_Toc408665062"/>
      <w:bookmarkStart w:id="387" w:name="_Toc16885"/>
      <w:bookmarkStart w:id="388" w:name="_Toc3643"/>
      <w:bookmarkStart w:id="389" w:name="_Toc7618"/>
      <w:bookmarkStart w:id="390" w:name="第十三章应急预案"/>
      <w:bookmarkStart w:id="391" w:name="_Toc452017048"/>
      <w:bookmarkStart w:id="392" w:name="_Toc23947184"/>
      <w:r>
        <w:rPr>
          <w:rStyle w:val="42"/>
          <w:rFonts w:hint="eastAsia" w:ascii="黑体" w:hAnsi="黑体" w:eastAsia="宋体"/>
          <w:sz w:val="32"/>
        </w:rPr>
        <w:t>第十五章 應急預案</w:t>
      </w:r>
      <w:bookmarkEnd w:id="386"/>
      <w:bookmarkEnd w:id="387"/>
      <w:bookmarkEnd w:id="388"/>
      <w:bookmarkEnd w:id="389"/>
      <w:bookmarkEnd w:id="390"/>
      <w:bookmarkEnd w:id="391"/>
      <w:bookmarkEnd w:id="392"/>
    </w:p>
    <w:p>
      <w:pPr>
        <w:spacing w:beforeLines="50" w:afterLines="50"/>
        <w:ind w:firstLine="560" w:firstLineChars="200"/>
        <w:rPr>
          <w:rFonts w:ascii="仿宋_GB2312" w:eastAsia="仿宋_GB2312"/>
          <w:sz w:val="28"/>
          <w:szCs w:val="28"/>
        </w:rPr>
      </w:pPr>
      <w:r>
        <w:rPr>
          <w:rFonts w:hint="eastAsia" w:ascii="仿宋_GB2312" w:eastAsia="宋体"/>
          <w:sz w:val="28"/>
          <w:szCs w:val="28"/>
        </w:rPr>
        <w:t>為了維護證券公司和客戶利益，保證期權業務持續、穩定和健康發展，證券公司應制定《期權業務突發事件應急預案》。證券公司應急工作應做到統一指揮、密切協作、責任明晰、預防為主、資訊共用等，並保證及時性與有效性。證券公司處置應急事件應及時通知到客戶，力爭做到損失及影響最小化。</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證券公司根據應急需要，應成立應急工作辦公室。根據應急事件發生後的不同情況，需通過公司網站、電話等方式，做好相關客戶的溝通與安撫工作，並正確引導輿論。證券公司還應做好應急事件後期處置工作，包括原因調查、責任追究、損失評估和改進措施等。證券公司需對以下應急事件制定相應的應急預案：</w:t>
      </w:r>
    </w:p>
    <w:p>
      <w:pPr>
        <w:pStyle w:val="3"/>
        <w:ind w:firstLine="562"/>
      </w:pPr>
      <w:bookmarkStart w:id="393" w:name="_Toc408665063"/>
      <w:bookmarkStart w:id="394" w:name="_Toc7562"/>
      <w:bookmarkStart w:id="395" w:name="_Toc6526"/>
      <w:bookmarkStart w:id="396" w:name="_Toc27452"/>
      <w:bookmarkStart w:id="397" w:name="一、业务人员操作应急事件"/>
      <w:bookmarkStart w:id="398" w:name="_Toc452017049"/>
      <w:bookmarkStart w:id="399" w:name="_Toc23947185"/>
      <w:r>
        <w:rPr>
          <w:rFonts w:hint="eastAsia" w:eastAsia="宋体"/>
        </w:rPr>
        <w:t>一、業務人員操作應急事件</w:t>
      </w:r>
      <w:bookmarkEnd w:id="393"/>
      <w:bookmarkEnd w:id="394"/>
      <w:bookmarkEnd w:id="395"/>
      <w:bookmarkEnd w:id="396"/>
      <w:bookmarkEnd w:id="397"/>
      <w:bookmarkEnd w:id="398"/>
      <w:bookmarkEnd w:id="399"/>
    </w:p>
    <w:p>
      <w:pPr>
        <w:spacing w:beforeLines="50" w:afterLines="50"/>
        <w:ind w:firstLine="560" w:firstLineChars="200"/>
        <w:rPr>
          <w:rFonts w:ascii="仿宋_GB2312" w:eastAsia="仿宋_GB2312"/>
          <w:sz w:val="28"/>
          <w:szCs w:val="28"/>
        </w:rPr>
      </w:pPr>
      <w:r>
        <w:rPr>
          <w:rFonts w:hint="eastAsia" w:ascii="仿宋_GB2312" w:eastAsia="宋体"/>
          <w:sz w:val="28"/>
          <w:szCs w:val="28"/>
        </w:rPr>
        <w:t>業務人員操作應急事件包括但不限於：</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（一）業務人員出現向上交所報送數據遲報、漏報、錯報等情況，比如期權業務人員在操作中將客戶帳戶指定關係指定錯誤等。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（二）期權交易管理系統的交易監控參數等業務參數設置錯誤、協議行權、清算交收、利息結算等出現差錯等；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（三）其他業務操作不當造成的風險。</w:t>
      </w:r>
    </w:p>
    <w:p>
      <w:pPr>
        <w:pStyle w:val="3"/>
        <w:ind w:firstLine="562"/>
      </w:pPr>
      <w:bookmarkStart w:id="400" w:name="_Toc408665064"/>
      <w:bookmarkStart w:id="401" w:name="_Toc17327"/>
      <w:bookmarkStart w:id="402" w:name="_Toc11133"/>
      <w:bookmarkStart w:id="403" w:name="_Toc14002"/>
      <w:bookmarkStart w:id="404" w:name="二、系统技术应急事件"/>
      <w:bookmarkStart w:id="405" w:name="_Toc452017050"/>
      <w:bookmarkStart w:id="406" w:name="_Toc23947186"/>
      <w:r>
        <w:rPr>
          <w:rFonts w:hint="eastAsia" w:eastAsia="宋体"/>
        </w:rPr>
        <w:t>二、系統技術應急事件</w:t>
      </w:r>
      <w:bookmarkEnd w:id="400"/>
      <w:bookmarkEnd w:id="401"/>
      <w:bookmarkEnd w:id="402"/>
      <w:bookmarkEnd w:id="403"/>
      <w:bookmarkEnd w:id="404"/>
      <w:bookmarkEnd w:id="405"/>
      <w:bookmarkEnd w:id="406"/>
    </w:p>
    <w:p>
      <w:pPr>
        <w:spacing w:beforeLines="50" w:afterLines="50"/>
        <w:ind w:firstLine="560" w:firstLineChars="200"/>
        <w:rPr>
          <w:rFonts w:ascii="仿宋_GB2312" w:eastAsia="仿宋_GB2312"/>
          <w:sz w:val="28"/>
          <w:szCs w:val="28"/>
        </w:rPr>
      </w:pPr>
      <w:r>
        <w:rPr>
          <w:rFonts w:hint="eastAsia" w:ascii="仿宋_GB2312" w:eastAsia="宋体"/>
          <w:sz w:val="28"/>
          <w:szCs w:val="28"/>
        </w:rPr>
        <w:t>系統技術應急事件包括但不限於：</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（一）交易系統等技術系統等發生軟、硬體故障，影響系統正常運行、無常正常開展交易與結算業務等；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（二）報盤系統發生故障等；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（三）行情系統發生故障等；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（四）網上交易系統故障，導致和行情主站連不上、行情數據未更新、無法發送行情給網上交易行情伺服器、應用程式提示的各種錯誤、客戶端無法連接委託主站、無法連接目的主機等；</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（五）通信系統發生故障導致資訊交流中斷；</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（六）電力系統供應中斷影響正常交易；</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（七）發生不可抗力，導致主機房發生災難事件等。</w:t>
      </w:r>
    </w:p>
    <w:p>
      <w:pPr>
        <w:pStyle w:val="3"/>
        <w:ind w:firstLine="562"/>
      </w:pPr>
      <w:bookmarkStart w:id="407" w:name="_Toc408665065"/>
      <w:bookmarkStart w:id="408" w:name="_Toc29377"/>
      <w:bookmarkStart w:id="409" w:name="_Toc11867"/>
      <w:bookmarkStart w:id="410" w:name="_Toc1876"/>
      <w:bookmarkStart w:id="411" w:name="三、交易异常事件"/>
      <w:bookmarkStart w:id="412" w:name="_Toc452017051"/>
      <w:bookmarkStart w:id="413" w:name="_Toc23947187"/>
      <w:r>
        <w:rPr>
          <w:rFonts w:hint="eastAsia" w:eastAsia="宋体"/>
        </w:rPr>
        <w:t>三、交易異常事件</w:t>
      </w:r>
      <w:bookmarkEnd w:id="407"/>
      <w:bookmarkEnd w:id="408"/>
      <w:bookmarkEnd w:id="409"/>
      <w:bookmarkEnd w:id="410"/>
      <w:bookmarkEnd w:id="411"/>
      <w:bookmarkEnd w:id="412"/>
      <w:bookmarkEnd w:id="413"/>
    </w:p>
    <w:p>
      <w:pPr>
        <w:spacing w:beforeLines="50" w:afterLines="50"/>
        <w:ind w:firstLine="560" w:firstLineChars="200"/>
        <w:rPr>
          <w:rFonts w:ascii="仿宋_GB2312" w:eastAsia="仿宋_GB2312"/>
          <w:sz w:val="28"/>
          <w:szCs w:val="28"/>
        </w:rPr>
      </w:pPr>
      <w:r>
        <w:rPr>
          <w:rFonts w:hint="eastAsia" w:ascii="仿宋_GB2312" w:eastAsia="宋体"/>
          <w:sz w:val="28"/>
          <w:szCs w:val="28"/>
        </w:rPr>
        <w:t>針對《交易規則》中規定的上交所或中國結算採取的風險控制措施可能需要公司作出的配合、銜接以及對公司產生的影響，制定相應的應急處置管理制度。</w:t>
      </w:r>
    </w:p>
    <w:p>
      <w:pPr>
        <w:widowControl/>
        <w:jc w:val="left"/>
        <w:rPr>
          <w:rFonts w:ascii="仿宋_GB2312" w:eastAsia="仿宋_GB2312"/>
          <w:sz w:val="28"/>
          <w:szCs w:val="28"/>
        </w:rPr>
      </w:pPr>
    </w:p>
    <w:p>
      <w:pPr>
        <w:pStyle w:val="3"/>
        <w:ind w:firstLine="562"/>
        <w:rPr>
          <w:rFonts w:ascii="黑体" w:hAnsi="黑体" w:eastAsia="黑体"/>
          <w:sz w:val="32"/>
        </w:rPr>
      </w:pPr>
      <w:r>
        <w:rPr>
          <w:rFonts w:hint="eastAsia" w:ascii="仿宋_GB2312"/>
          <w:szCs w:val="28"/>
        </w:rPr>
        <w:br w:type="page"/>
      </w:r>
      <w:r>
        <w:rPr>
          <w:rFonts w:hint="eastAsia" w:ascii="仿宋_GB2312" w:eastAsia="宋体"/>
          <w:szCs w:val="28"/>
        </w:rPr>
        <w:t xml:space="preserve"> </w:t>
      </w:r>
      <w:bookmarkStart w:id="414" w:name="_Toc406436503"/>
      <w:bookmarkStart w:id="415" w:name="_Toc406438912"/>
      <w:bookmarkStart w:id="416" w:name="_Toc406438952"/>
      <w:bookmarkStart w:id="417" w:name="_Toc406439137"/>
      <w:bookmarkStart w:id="418" w:name="_Toc408749996"/>
      <w:bookmarkStart w:id="419" w:name="_Toc452017052"/>
      <w:bookmarkStart w:id="420" w:name="_Toc23947188"/>
      <w:bookmarkStart w:id="421" w:name="第十四章交易信息提醒及期权基础信息接口文件说明"/>
      <w:r>
        <w:rPr>
          <w:rFonts w:hint="eastAsia" w:ascii="黑体" w:hAnsi="黑体" w:eastAsia="宋体"/>
          <w:sz w:val="32"/>
        </w:rPr>
        <w:t>第十六章 交易資訊提醒</w:t>
      </w:r>
      <w:bookmarkEnd w:id="414"/>
      <w:bookmarkEnd w:id="415"/>
      <w:bookmarkEnd w:id="416"/>
      <w:bookmarkEnd w:id="417"/>
      <w:bookmarkEnd w:id="418"/>
      <w:r>
        <w:rPr>
          <w:rFonts w:hint="eastAsia" w:ascii="黑体" w:hAnsi="黑体" w:eastAsia="宋体"/>
          <w:sz w:val="32"/>
        </w:rPr>
        <w:t>及期權基礎資訊介面檔</w:t>
      </w:r>
      <w:bookmarkEnd w:id="419"/>
      <w:bookmarkStart w:id="422" w:name="_Toc452017053"/>
      <w:r>
        <w:rPr>
          <w:rFonts w:hint="eastAsia" w:ascii="黑体" w:hAnsi="黑体" w:eastAsia="宋体"/>
          <w:sz w:val="32"/>
        </w:rPr>
        <w:t>說明</w:t>
      </w:r>
      <w:bookmarkEnd w:id="420"/>
      <w:bookmarkEnd w:id="422"/>
    </w:p>
    <w:bookmarkEnd w:id="421"/>
    <w:p>
      <w:pPr>
        <w:pStyle w:val="3"/>
        <w:ind w:firstLine="562"/>
      </w:pPr>
      <w:bookmarkStart w:id="423" w:name="_Toc406100171"/>
      <w:bookmarkStart w:id="424" w:name="_Toc406438913"/>
      <w:bookmarkStart w:id="425" w:name="_Toc408749997"/>
      <w:bookmarkStart w:id="426" w:name="_Toc23675"/>
      <w:bookmarkStart w:id="427" w:name="_Toc16035"/>
      <w:bookmarkStart w:id="428" w:name="_Toc20561"/>
      <w:bookmarkStart w:id="429" w:name="一、交易信息内容"/>
      <w:bookmarkStart w:id="430" w:name="_Toc452017054"/>
      <w:bookmarkStart w:id="431" w:name="_Toc23947189"/>
      <w:r>
        <w:rPr>
          <w:rFonts w:hint="eastAsia" w:eastAsia="宋体"/>
        </w:rPr>
        <w:t>一、交易資訊內容</w:t>
      </w:r>
      <w:bookmarkEnd w:id="423"/>
      <w:bookmarkEnd w:id="424"/>
      <w:bookmarkEnd w:id="425"/>
      <w:bookmarkEnd w:id="426"/>
      <w:bookmarkEnd w:id="427"/>
      <w:bookmarkEnd w:id="428"/>
      <w:bookmarkEnd w:id="429"/>
      <w:bookmarkEnd w:id="430"/>
      <w:bookmarkEnd w:id="431"/>
    </w:p>
    <w:p>
      <w:pPr>
        <w:ind w:firstLine="560" w:firstLineChars="200"/>
        <w:rPr>
          <w:rFonts w:ascii="仿宋_GB2312" w:eastAsia="仿宋_GB2312"/>
          <w:sz w:val="28"/>
          <w:szCs w:val="28"/>
        </w:rPr>
      </w:pPr>
      <w:r>
        <w:rPr>
          <w:rFonts w:hint="eastAsia" w:ascii="仿宋_GB2312" w:eastAsia="宋体"/>
          <w:sz w:val="28"/>
          <w:szCs w:val="28"/>
        </w:rPr>
        <w:t>本所每個交易日發佈衍生品合約相關交易資訊，包括交易前資訊、即時行情、盤後資訊、行權資訊等。證券公司應及時接收本所向其發送的相關交易資訊，並通過行情交易終端、公司門戶網站或經紀合同約定的方式向投資者轉發。</w:t>
      </w:r>
    </w:p>
    <w:p>
      <w:pPr>
        <w:ind w:firstLine="560" w:firstLineChars="200"/>
        <w:rPr>
          <w:rFonts w:ascii="仿宋_GB2312" w:eastAsia="仿宋_GB2312"/>
          <w:sz w:val="28"/>
          <w:szCs w:val="28"/>
        </w:rPr>
      </w:pPr>
      <w:r>
        <w:rPr>
          <w:rFonts w:hint="eastAsia" w:ascii="仿宋_GB2312" w:eastAsia="宋体"/>
          <w:sz w:val="28"/>
          <w:szCs w:val="28"/>
        </w:rPr>
        <w:t>證券公司可結合本所公開發佈的相關衍生品合約交易資訊，向投資者提供諸如期權計算器、期權杠杆比率、期權希臘字母值等個性化交易資訊。證券公司應當對個性化資訊的真實性、準確性負責。</w:t>
      </w:r>
    </w:p>
    <w:p>
      <w:pPr>
        <w:pStyle w:val="3"/>
        <w:ind w:firstLine="562"/>
      </w:pPr>
      <w:bookmarkStart w:id="432" w:name="_Toc406100172"/>
      <w:bookmarkStart w:id="433" w:name="_Toc406438914"/>
      <w:bookmarkStart w:id="434" w:name="_Toc408749998"/>
      <w:bookmarkStart w:id="435" w:name="_Toc26669"/>
      <w:bookmarkStart w:id="436" w:name="_Toc14548"/>
      <w:bookmarkStart w:id="437" w:name="_Toc2271"/>
      <w:bookmarkStart w:id="438" w:name="二、信息公告与提醒"/>
      <w:bookmarkStart w:id="439" w:name="_Toc452017055"/>
      <w:bookmarkStart w:id="440" w:name="_Toc23947190"/>
      <w:r>
        <w:rPr>
          <w:rFonts w:hint="eastAsia" w:eastAsia="宋体"/>
        </w:rPr>
        <w:t>二、資訊公告與提醒</w:t>
      </w:r>
      <w:bookmarkEnd w:id="432"/>
      <w:bookmarkEnd w:id="433"/>
      <w:bookmarkEnd w:id="434"/>
      <w:bookmarkEnd w:id="435"/>
      <w:bookmarkEnd w:id="436"/>
      <w:bookmarkEnd w:id="437"/>
      <w:bookmarkEnd w:id="438"/>
      <w:bookmarkEnd w:id="439"/>
      <w:bookmarkEnd w:id="440"/>
    </w:p>
    <w:p>
      <w:pPr>
        <w:ind w:firstLine="562" w:firstLineChars="200"/>
        <w:rPr>
          <w:rFonts w:ascii="仿宋_GB2312" w:eastAsia="仿宋_GB2312"/>
          <w:b/>
          <w:sz w:val="28"/>
          <w:szCs w:val="28"/>
        </w:rPr>
      </w:pPr>
      <w:r>
        <w:rPr>
          <w:rFonts w:hint="eastAsia" w:ascii="仿宋_GB2312" w:eastAsia="宋体"/>
          <w:b/>
          <w:sz w:val="28"/>
          <w:szCs w:val="28"/>
        </w:rPr>
        <w:t>（一）資訊公告</w:t>
      </w:r>
    </w:p>
    <w:p>
      <w:pPr>
        <w:ind w:firstLine="560" w:firstLineChars="200"/>
        <w:rPr>
          <w:rFonts w:ascii="仿宋_GB2312" w:eastAsia="仿宋_GB2312"/>
          <w:sz w:val="28"/>
          <w:szCs w:val="28"/>
        </w:rPr>
      </w:pPr>
      <w:r>
        <w:rPr>
          <w:rFonts w:hint="eastAsia" w:ascii="仿宋_GB2312" w:eastAsia="宋体"/>
          <w:sz w:val="28"/>
          <w:szCs w:val="28"/>
        </w:rPr>
        <w:t>證券公司應當及時接收本所通過通訊系統、本所網站等管道發佈的股票期權相關資訊通知公告（包括但不限於股票期權合約運作管理相關公告、股票期權風險控制相關公告等），並向投資者轉發，轉發、推送形式可以為公司網站公示、客戶交易終端提示、郵件或經紀合同約定的方式等。</w:t>
      </w:r>
    </w:p>
    <w:p>
      <w:pPr>
        <w:ind w:firstLine="560" w:firstLineChars="200"/>
        <w:rPr>
          <w:rFonts w:ascii="仿宋_GB2312" w:eastAsia="仿宋_GB2312"/>
          <w:sz w:val="28"/>
          <w:szCs w:val="28"/>
        </w:rPr>
      </w:pPr>
      <w:r>
        <w:rPr>
          <w:rFonts w:hint="eastAsia" w:ascii="仿宋_GB2312" w:eastAsia="宋体"/>
          <w:sz w:val="28"/>
          <w:szCs w:val="28"/>
        </w:rPr>
        <w:t>證券公司應發佈與其自身期權業務相關的公告資訊，如公司保證金調整、期權交易手續費調整等。公告形式可以為證券公司公司網站公示、客戶交易終端提示、發送郵件或經紀合同約定的方式等。</w:t>
      </w:r>
    </w:p>
    <w:p>
      <w:pPr>
        <w:ind w:firstLine="562" w:firstLineChars="200"/>
        <w:rPr>
          <w:rFonts w:ascii="仿宋_GB2312" w:eastAsia="仿宋_GB2312"/>
          <w:b/>
          <w:sz w:val="28"/>
          <w:szCs w:val="28"/>
        </w:rPr>
      </w:pPr>
      <w:r>
        <w:rPr>
          <w:rFonts w:hint="eastAsia" w:ascii="仿宋_GB2312" w:eastAsia="宋体"/>
          <w:b/>
          <w:sz w:val="28"/>
          <w:szCs w:val="28"/>
        </w:rPr>
        <w:t>（二）資訊提醒</w:t>
      </w:r>
    </w:p>
    <w:p>
      <w:pPr>
        <w:ind w:firstLine="560" w:firstLineChars="200"/>
        <w:rPr>
          <w:rFonts w:ascii="仿宋_GB2312" w:eastAsia="仿宋_GB2312"/>
          <w:sz w:val="28"/>
          <w:szCs w:val="28"/>
        </w:rPr>
      </w:pPr>
      <w:r>
        <w:rPr>
          <w:rFonts w:hint="eastAsia" w:ascii="仿宋_GB2312" w:eastAsia="宋体"/>
          <w:sz w:val="28"/>
          <w:szCs w:val="28"/>
        </w:rPr>
        <w:t>1、證券公司應對客戶參與期權交易有關事項進行提醒，內容包括但不限於：距離到期日不足3個交易日的期權合約資訊；合約運作管理；近期進行合約調整的期權合約資訊（持續到調整後5個交易日或摘牌）；保證金參數水準調整；期權手續費調整；重點監控期權合約交易風險；其他本所或證券公司認為有必要向投資者進行提醒的事項。</w:t>
      </w:r>
    </w:p>
    <w:p>
      <w:pPr>
        <w:ind w:firstLine="560" w:firstLineChars="200"/>
        <w:rPr>
          <w:rFonts w:ascii="仿宋_GB2312" w:eastAsia="仿宋_GB2312"/>
          <w:sz w:val="28"/>
          <w:szCs w:val="28"/>
        </w:rPr>
      </w:pPr>
      <w:r>
        <w:rPr>
          <w:rFonts w:hint="eastAsia" w:ascii="仿宋_GB2312" w:eastAsia="宋体"/>
          <w:sz w:val="28"/>
          <w:szCs w:val="28"/>
        </w:rPr>
        <w:t>2、證券公司應對相關持倉客戶進行如下提醒（提醒方式可以為客戶交易終端提醒、電子郵件、短信、電話等）：備兌持倉標的證券不足提醒；持有快到期或到期合約的臨近行權提醒；持有快到期合約的被行權可能提醒；被指派行權提醒；證券交收日，交收證券不足提醒（電話提醒並督促其補足應交標的證券數量）；其他本所或證券公司認為有必要向投資者進行提醒的事項。</w:t>
      </w:r>
    </w:p>
    <w:p>
      <w:pPr>
        <w:ind w:firstLine="560" w:firstLineChars="200"/>
        <w:rPr>
          <w:rFonts w:ascii="仿宋_GB2312" w:eastAsia="仿宋_GB2312"/>
          <w:sz w:val="28"/>
          <w:szCs w:val="28"/>
        </w:rPr>
      </w:pPr>
      <w:r>
        <w:rPr>
          <w:rFonts w:hint="eastAsia" w:ascii="仿宋_GB2312" w:eastAsia="宋体"/>
          <w:sz w:val="28"/>
          <w:szCs w:val="28"/>
        </w:rPr>
        <w:t>3、交易委託提醒</w:t>
      </w:r>
    </w:p>
    <w:p>
      <w:pPr>
        <w:ind w:firstLine="560" w:firstLineChars="200"/>
        <w:rPr>
          <w:rFonts w:ascii="仿宋_GB2312" w:eastAsia="仿宋_GB2312"/>
          <w:sz w:val="28"/>
          <w:szCs w:val="28"/>
        </w:rPr>
      </w:pPr>
      <w:r>
        <w:rPr>
          <w:rFonts w:hint="eastAsia" w:ascii="仿宋_GB2312" w:eastAsia="宋体"/>
          <w:sz w:val="28"/>
          <w:szCs w:val="28"/>
        </w:rPr>
        <w:t>證券公司的客戶交易終端應支持在客戶提交包括但不限於以下交易委託時，彈出窗口（對同一合約交易可設置只提醒一次）進行提醒：嚴重虛值期權買入開倉委託；臨近到期期權買入開倉委託；合約調整過的期權買入開倉委託；合約為虛值的行權委託；標的證券不足的備兌開倉委託；其他本所或證券公司認為有必要向投資者進行提醒的事項。</w:t>
      </w:r>
    </w:p>
    <w:p>
      <w:pPr>
        <w:ind w:firstLine="560" w:firstLineChars="200"/>
        <w:rPr>
          <w:rFonts w:ascii="仿宋_GB2312" w:eastAsia="仿宋_GB2312"/>
          <w:sz w:val="28"/>
          <w:szCs w:val="28"/>
        </w:rPr>
      </w:pPr>
      <w:r>
        <w:rPr>
          <w:rFonts w:hint="eastAsia" w:ascii="仿宋_GB2312" w:eastAsia="宋体"/>
          <w:sz w:val="28"/>
          <w:szCs w:val="28"/>
        </w:rPr>
        <w:t>4、證券公司可根據投資者的資金狀況、交易活躍程度、異常交易結算行為發生頻率、收到本所警示次數以及是否為本所重點監控帳戶等情況，對投資者進行分類管理，在市場出現期權價格大幅波動時，及時向投資者提示投資風險。</w:t>
      </w:r>
    </w:p>
    <w:p>
      <w:pPr>
        <w:ind w:firstLine="560" w:firstLineChars="200"/>
        <w:rPr>
          <w:rFonts w:ascii="仿宋_GB2312" w:eastAsia="仿宋_GB2312"/>
          <w:sz w:val="28"/>
          <w:szCs w:val="28"/>
        </w:rPr>
      </w:pPr>
      <w:r>
        <w:rPr>
          <w:rFonts w:hint="eastAsia" w:ascii="仿宋_GB2312" w:eastAsia="宋体"/>
          <w:sz w:val="28"/>
          <w:szCs w:val="28"/>
        </w:rPr>
        <w:t>5、建議證券公司在相關資訊技術系統突發事件應急處置方案中，制定股票期權合約資訊相關突發故障的處理措施，確保投資者在突發事件時能夠及時知曉股票期權相關交易與提醒資訊。</w:t>
      </w:r>
    </w:p>
    <w:p>
      <w:pPr>
        <w:pStyle w:val="3"/>
        <w:ind w:firstLine="562"/>
      </w:pPr>
      <w:bookmarkStart w:id="441" w:name="三、期权基础信息接口文件说明"/>
      <w:bookmarkStart w:id="442" w:name="_Toc452017056"/>
      <w:bookmarkStart w:id="443" w:name="_Toc23947191"/>
      <w:r>
        <w:rPr>
          <w:rFonts w:hint="eastAsia" w:eastAsia="宋体"/>
        </w:rPr>
        <w:t>三、期權基礎資訊介面檔說明</w:t>
      </w:r>
      <w:bookmarkEnd w:id="441"/>
      <w:bookmarkEnd w:id="442"/>
      <w:bookmarkEnd w:id="443"/>
    </w:p>
    <w:p>
      <w:pPr>
        <w:ind w:firstLine="560" w:firstLineChars="200"/>
        <w:rPr>
          <w:rFonts w:ascii="仿宋_GB2312" w:eastAsia="仿宋_GB2312"/>
          <w:sz w:val="28"/>
          <w:szCs w:val="28"/>
        </w:rPr>
      </w:pPr>
      <w:r>
        <w:rPr>
          <w:rFonts w:hint="eastAsia" w:ascii="仿宋_GB2312" w:eastAsia="宋体"/>
          <w:sz w:val="28"/>
          <w:szCs w:val="28"/>
        </w:rPr>
        <w:t>上交所每日向證券公司發送期權基礎資訊介面檔（檔案名稱：reff03MMDD.txt，以下簡稱：reff03檔）。reff03檔包含34個字段，現說明如下：</w:t>
      </w:r>
    </w:p>
    <w:p>
      <w:pPr>
        <w:ind w:firstLine="560" w:firstLineChars="200"/>
        <w:rPr>
          <w:rFonts w:ascii="仿宋_GB2312" w:eastAsia="仿宋_GB2312"/>
          <w:sz w:val="28"/>
          <w:szCs w:val="28"/>
        </w:rPr>
      </w:pPr>
      <w:r>
        <w:rPr>
          <w:rFonts w:hint="eastAsia" w:ascii="仿宋_GB2312" w:eastAsia="宋体"/>
          <w:sz w:val="28"/>
          <w:szCs w:val="28"/>
        </w:rPr>
        <w:t>(一)合約品種通用類字段。合約品種通用類字段內容適用同一期權合約品種，包括：歐式美式、保證金計算比例參數一、保證金計算比例參數二、整手數、單筆限價申報下限、單筆限價申報上限、單筆市價申報下限、單筆市價申報上限、最小報價單位，共9個。</w:t>
      </w:r>
    </w:p>
    <w:p>
      <w:pPr>
        <w:ind w:firstLine="560" w:firstLineChars="200"/>
        <w:rPr>
          <w:rFonts w:ascii="仿宋_GB2312" w:eastAsia="仿宋_GB2312"/>
          <w:sz w:val="28"/>
          <w:szCs w:val="28"/>
        </w:rPr>
      </w:pPr>
      <w:r>
        <w:rPr>
          <w:rFonts w:hint="eastAsia" w:ascii="仿宋_GB2312" w:eastAsia="宋体"/>
          <w:sz w:val="28"/>
          <w:szCs w:val="28"/>
        </w:rPr>
        <w:t>該類字段均根據本所現行業務規則或通知設置。若業務規則未發生變化，該類字段內容保持不變；該類字段內容發生調整時，本所將向市場發佈公告，並及時告知期權經營機構。期權經營機構應能夠在期權系統中對字段內容進行即時統一調整。</w:t>
      </w:r>
      <w:r>
        <w:rPr>
          <w:rFonts w:hint="eastAsia" w:ascii="仿宋_GB2312" w:eastAsia="仿宋_GB2312"/>
          <w:sz w:val="28"/>
          <w:szCs w:val="28"/>
        </w:rPr>
        <w:br w:type="textWrapping"/>
      </w:r>
      <w:r>
        <w:rPr>
          <w:rFonts w:hint="eastAsia" w:ascii="仿宋_GB2312" w:eastAsia="宋体"/>
          <w:sz w:val="28"/>
          <w:szCs w:val="28"/>
        </w:rPr>
        <w:t>   (二)合約個性類字段。合約個性類字段內容根據期權合約個性化產生，包括：合約編碼、合約交易代碼、期權合約簡稱、認購認沽、合約單位、期權行權價、首個交易日、最後交易日、期權行權日、行權交割日、期權到期日、合約版本號、當前未平倉合約數、合約前收盤價、合約前結算價、漲幅上限價格、跌幅下限價格、單位保證金，共18個。</w:t>
      </w:r>
    </w:p>
    <w:p>
      <w:pPr>
        <w:ind w:firstLine="560" w:firstLineChars="200"/>
        <w:rPr>
          <w:rFonts w:ascii="仿宋_GB2312" w:eastAsia="仿宋_GB2312"/>
          <w:sz w:val="28"/>
          <w:szCs w:val="28"/>
        </w:rPr>
      </w:pPr>
      <w:r>
        <w:rPr>
          <w:rFonts w:hint="eastAsia" w:ascii="仿宋_GB2312" w:eastAsia="宋体"/>
          <w:sz w:val="28"/>
          <w:szCs w:val="28"/>
        </w:rPr>
        <w:t xml:space="preserve"> 期權經營機構可以通過本所發送的reff03檔獲取該類字段內容，但應能夠在期權系統中根據期權合約對該類字段內容進行即時個性化調整。</w:t>
      </w:r>
    </w:p>
    <w:p>
      <w:pPr>
        <w:ind w:firstLine="560" w:firstLineChars="200"/>
        <w:rPr>
          <w:rFonts w:ascii="仿宋_GB2312" w:eastAsia="仿宋_GB2312"/>
          <w:sz w:val="28"/>
          <w:szCs w:val="28"/>
        </w:rPr>
      </w:pPr>
      <w:r>
        <w:rPr>
          <w:rFonts w:hint="eastAsia" w:ascii="仿宋_GB2312" w:eastAsia="宋体"/>
          <w:sz w:val="28"/>
          <w:szCs w:val="28"/>
        </w:rPr>
        <w:t xml:space="preserve"> 其中，對於“單位保證金”、“漲幅上限價格”、“跌幅下限價格”字段，期權經營機構可根據本所發佈的業務規則計算並設置。當本所對發送的reff03檔數據進行調整時，將及時告知期權經營機構。</w:t>
      </w:r>
    </w:p>
    <w:p>
      <w:pPr>
        <w:ind w:firstLine="560" w:firstLineChars="200"/>
        <w:rPr>
          <w:rFonts w:ascii="仿宋_GB2312" w:eastAsia="仿宋_GB2312"/>
          <w:sz w:val="28"/>
          <w:szCs w:val="28"/>
        </w:rPr>
      </w:pPr>
      <w:r>
        <w:rPr>
          <w:rFonts w:hint="eastAsia" w:ascii="仿宋_GB2312" w:eastAsia="宋体"/>
          <w:sz w:val="28"/>
          <w:szCs w:val="28"/>
        </w:rPr>
        <w:t xml:space="preserve"> 對於“認購認沽”、“期權行權價”字段，期權經營機構可以通過“合約交易代碼”或“期權合約簡稱”字段獲取前述字段內容。</w:t>
      </w:r>
    </w:p>
    <w:p>
      <w:pPr>
        <w:ind w:firstLine="560" w:firstLineChars="200"/>
        <w:rPr>
          <w:rFonts w:ascii="仿宋_GB2312" w:eastAsia="仿宋_GB2312"/>
          <w:sz w:val="28"/>
          <w:szCs w:val="28"/>
        </w:rPr>
      </w:pPr>
      <w:r>
        <w:rPr>
          <w:rFonts w:hint="eastAsia" w:ascii="仿宋_GB2312" w:eastAsia="宋体"/>
          <w:sz w:val="28"/>
          <w:szCs w:val="28"/>
        </w:rPr>
        <w:t xml:space="preserve"> 對於“首個交易日”、“合約版本號”、“合約前收盤價”字段，其內容僅提供期權合約的輔助資訊，不影響期權經營機構期權系統的正常運行。</w:t>
      </w:r>
    </w:p>
    <w:p>
      <w:pPr>
        <w:ind w:firstLine="560" w:firstLineChars="200"/>
        <w:rPr>
          <w:rFonts w:ascii="仿宋_GB2312" w:eastAsia="仿宋_GB2312"/>
          <w:sz w:val="28"/>
          <w:szCs w:val="28"/>
        </w:rPr>
      </w:pPr>
      <w:r>
        <w:rPr>
          <w:rFonts w:hint="eastAsia" w:ascii="仿宋_GB2312" w:eastAsia="宋体"/>
          <w:sz w:val="28"/>
          <w:szCs w:val="28"/>
        </w:rPr>
        <w:t>(三)標的類字段。標的類字段提供合約標的資訊，包括：標的證券代碼、基礎證券名稱、標的證券類型、標的證券前收盤，共4個。期權經營機構可以從現貨行情獲取該類字段內容，並應能夠在期權系統中對該類字段內容進行即時調整。</w:t>
      </w:r>
    </w:p>
    <w:p>
      <w:pPr>
        <w:ind w:firstLine="560" w:firstLineChars="200"/>
        <w:rPr>
          <w:rFonts w:ascii="仿宋_GB2312" w:eastAsia="仿宋_GB2312"/>
          <w:sz w:val="28"/>
          <w:szCs w:val="28"/>
        </w:rPr>
      </w:pPr>
      <w:r>
        <w:rPr>
          <w:rFonts w:hint="eastAsia" w:ascii="仿宋_GB2312" w:eastAsia="宋体"/>
          <w:sz w:val="28"/>
          <w:szCs w:val="28"/>
        </w:rPr>
        <w:t>(四)其他類字段。其他類字段內容為輔助資訊，包括：漲跌幅限制類型、參考數據類型、期權合約狀態資訊標籤，共3個。該類字段不影響經營機構期權系統的正常運行。</w:t>
      </w:r>
    </w:p>
    <w:p>
      <w:pPr>
        <w:ind w:firstLine="420" w:firstLineChars="200"/>
      </w:pPr>
      <w:r>
        <w:rPr>
          <w:rFonts w:hint="eastAsia" w:eastAsia="宋体"/>
        </w:rPr>
        <w:t xml:space="preserve">      </w:t>
      </w:r>
    </w:p>
    <w:p>
      <w:pPr>
        <w:ind w:firstLine="562"/>
        <w:rPr>
          <w:rFonts w:ascii="仿宋_GB2312" w:eastAsia="仿宋_GB2312"/>
          <w:sz w:val="28"/>
          <w:szCs w:val="28"/>
        </w:rPr>
      </w:pPr>
    </w:p>
    <w:p>
      <w:pPr>
        <w:pStyle w:val="2"/>
        <w:spacing w:line="240" w:lineRule="auto"/>
        <w:jc w:val="center"/>
        <w:rPr>
          <w:rFonts w:ascii="黑体" w:hAnsi="黑体" w:eastAsia="黑体"/>
          <w:kern w:val="2"/>
          <w:sz w:val="32"/>
          <w:szCs w:val="32"/>
        </w:rPr>
      </w:pPr>
      <w:bookmarkStart w:id="444" w:name="_Toc406436506"/>
      <w:bookmarkStart w:id="445" w:name="_Toc406438923"/>
      <w:bookmarkStart w:id="446" w:name="_Toc406438955"/>
      <w:bookmarkStart w:id="447" w:name="_Toc406439140"/>
      <w:bookmarkStart w:id="448" w:name="_Toc408750006"/>
      <w:bookmarkStart w:id="449" w:name="_Toc23432"/>
      <w:bookmarkStart w:id="450" w:name="_Toc20182"/>
      <w:bookmarkStart w:id="451" w:name="_Toc8959"/>
      <w:bookmarkStart w:id="452" w:name="第十七章投资者教育与客户投诉处理"/>
      <w:bookmarkStart w:id="453" w:name="_Toc452017057"/>
      <w:bookmarkStart w:id="454" w:name="_Toc23947192"/>
      <w:r>
        <w:rPr>
          <w:rFonts w:hint="eastAsia" w:ascii="黑体" w:hAnsi="黑体" w:eastAsia="宋体"/>
          <w:kern w:val="2"/>
          <w:sz w:val="32"/>
          <w:szCs w:val="32"/>
        </w:rPr>
        <w:t>第十七章 投資者教育與客戶投訴處理</w:t>
      </w:r>
      <w:bookmarkEnd w:id="444"/>
      <w:bookmarkEnd w:id="445"/>
      <w:bookmarkEnd w:id="446"/>
      <w:bookmarkEnd w:id="447"/>
      <w:bookmarkEnd w:id="448"/>
      <w:bookmarkEnd w:id="449"/>
      <w:bookmarkEnd w:id="450"/>
      <w:bookmarkEnd w:id="451"/>
      <w:bookmarkEnd w:id="452"/>
      <w:bookmarkEnd w:id="453"/>
      <w:bookmarkEnd w:id="454"/>
    </w:p>
    <w:p>
      <w:pPr>
        <w:pStyle w:val="2"/>
        <w:ind w:firstLine="562" w:firstLineChars="200"/>
      </w:pPr>
      <w:bookmarkStart w:id="455" w:name="_Toc2742"/>
      <w:bookmarkStart w:id="456" w:name="一、投资者教育"/>
      <w:bookmarkStart w:id="457" w:name="_Toc452017058"/>
      <w:bookmarkStart w:id="458" w:name="_Toc23947193"/>
      <w:bookmarkStart w:id="459" w:name="_Toc19450"/>
      <w:bookmarkStart w:id="460" w:name="_Toc28065"/>
      <w:bookmarkStart w:id="461" w:name="_Toc406438924"/>
      <w:bookmarkStart w:id="462" w:name="_Toc408750007"/>
      <w:r>
        <w:rPr>
          <w:rFonts w:hint="eastAsia" w:eastAsia="宋体"/>
        </w:rPr>
        <w:t>一、投資者教育</w:t>
      </w:r>
      <w:bookmarkEnd w:id="455"/>
      <w:bookmarkEnd w:id="456"/>
      <w:bookmarkEnd w:id="457"/>
      <w:bookmarkEnd w:id="458"/>
      <w:bookmarkEnd w:id="459"/>
      <w:bookmarkEnd w:id="460"/>
      <w:bookmarkEnd w:id="461"/>
      <w:bookmarkEnd w:id="462"/>
    </w:p>
    <w:p>
      <w:pPr>
        <w:ind w:firstLine="548" w:firstLineChars="196"/>
        <w:rPr>
          <w:rFonts w:ascii="仿宋_GB2312" w:eastAsia="仿宋_GB2312"/>
          <w:color w:val="000000"/>
          <w:sz w:val="28"/>
          <w:szCs w:val="28"/>
        </w:rPr>
      </w:pPr>
      <w:r>
        <w:rPr>
          <w:rFonts w:hint="eastAsia" w:ascii="仿宋_GB2312" w:eastAsia="宋体"/>
          <w:color w:val="000000"/>
          <w:sz w:val="28"/>
          <w:szCs w:val="28"/>
        </w:rPr>
        <w:t>股票期權業務投資者教育工作的目的是使客戶掌握股票期權業務知識、交易規則，瞭解股票期權業務風險，樹立正確的投資理念，理性參與期權交易，增強風險防範意識，依法維護自身權益，自覺維護市場秩序，促進股票期權市場的規範發展。</w:t>
      </w:r>
    </w:p>
    <w:p>
      <w:pPr>
        <w:ind w:firstLine="562" w:firstLineChars="200"/>
        <w:rPr>
          <w:rFonts w:ascii="仿宋_GB2312" w:eastAsia="仿宋_GB2312"/>
          <w:b/>
          <w:sz w:val="28"/>
          <w:szCs w:val="28"/>
        </w:rPr>
      </w:pPr>
      <w:bookmarkStart w:id="463" w:name="_Toc406438925"/>
      <w:r>
        <w:rPr>
          <w:rFonts w:hint="eastAsia" w:ascii="仿宋_GB2312" w:eastAsia="宋体"/>
          <w:b/>
          <w:sz w:val="28"/>
          <w:szCs w:val="28"/>
        </w:rPr>
        <w:t>（一）投資者教育工作內容</w:t>
      </w:r>
      <w:bookmarkEnd w:id="463"/>
    </w:p>
    <w:p>
      <w:pPr>
        <w:pStyle w:val="24"/>
        <w:shd w:val="clear" w:color="auto" w:fill="FFFFFF"/>
        <w:spacing w:after="136" w:line="299" w:lineRule="atLeast"/>
        <w:ind w:firstLine="565" w:firstLineChars="202"/>
        <w:rPr>
          <w:rFonts w:ascii="-apple-system" w:hAnsi="-apple-system"/>
          <w:color w:val="4D4D4D"/>
          <w:sz w:val="19"/>
          <w:szCs w:val="19"/>
        </w:rPr>
      </w:pPr>
      <w:r>
        <w:rPr>
          <w:rFonts w:hint="eastAsia" w:ascii="仿宋_GB2312" w:eastAsia="宋体"/>
          <w:color w:val="000000"/>
          <w:sz w:val="28"/>
          <w:szCs w:val="28"/>
        </w:rPr>
        <w:t>股票期權業務投資者教育的主要內容包括股票期權業務基礎知識、相關法律法規、期權業務規則、期權業務風險、投資者適當性管理標準、股票期權經紀合同的主要條款、股票期權開戶流程等。</w:t>
      </w:r>
    </w:p>
    <w:p>
      <w:pPr>
        <w:ind w:firstLine="562" w:firstLineChars="200"/>
        <w:rPr>
          <w:rFonts w:ascii="仿宋_GB2312" w:eastAsia="仿宋_GB2312"/>
          <w:b/>
          <w:sz w:val="28"/>
          <w:szCs w:val="28"/>
        </w:rPr>
      </w:pPr>
      <w:bookmarkStart w:id="464" w:name="_Toc406438926"/>
      <w:r>
        <w:rPr>
          <w:rFonts w:hint="eastAsia" w:ascii="仿宋_GB2312" w:eastAsia="宋体"/>
          <w:b/>
          <w:sz w:val="28"/>
          <w:szCs w:val="28"/>
        </w:rPr>
        <w:t>（二）投資者教育工作要求及工作形式</w:t>
      </w:r>
      <w:bookmarkEnd w:id="464"/>
    </w:p>
    <w:p>
      <w:pPr>
        <w:ind w:firstLine="548" w:firstLineChars="196"/>
        <w:rPr>
          <w:rFonts w:ascii="仿宋_GB2312" w:eastAsia="仿宋_GB2312"/>
          <w:color w:val="000000"/>
          <w:sz w:val="28"/>
          <w:szCs w:val="28"/>
        </w:rPr>
      </w:pPr>
      <w:r>
        <w:rPr>
          <w:rFonts w:hint="eastAsia" w:ascii="仿宋_GB2312" w:eastAsia="宋体"/>
          <w:color w:val="000000"/>
          <w:sz w:val="28"/>
          <w:szCs w:val="28"/>
        </w:rPr>
        <w:t>1、股票期權經紀業務部門應制定本公司股票期權投資者教育工作制度，統籌組織全公司投資者教育工作。期權經紀業務部門可以採取如下形式開展投資者教育活動：集中授課、製作和發放投資者教育相關材料、設置公司網站投資者教育專欄、利用行情交易系統等揭示股票期權交易風險、組織開展股票期權仿真交易、與證券監管部門及宣傳機構等合作開展投資者教育活動等。</w:t>
      </w:r>
    </w:p>
    <w:p>
      <w:pPr>
        <w:ind w:firstLine="548" w:firstLineChars="196"/>
        <w:rPr>
          <w:rFonts w:ascii="仿宋_GB2312" w:eastAsia="仿宋_GB2312"/>
          <w:color w:val="000000"/>
          <w:sz w:val="28"/>
          <w:szCs w:val="28"/>
        </w:rPr>
      </w:pPr>
      <w:r>
        <w:rPr>
          <w:rFonts w:hint="eastAsia" w:ascii="仿宋_GB2312" w:eastAsia="宋体"/>
          <w:color w:val="000000"/>
          <w:sz w:val="28"/>
          <w:szCs w:val="28"/>
        </w:rPr>
        <w:t>證券公司應當在公司網站建立與本所投資者教育網站期權投教專區(http://edu.sse.com.cn/option)的鏈接，並根據需要或本所要求，及時向客戶發佈本所提供的有關期權投資者教育的相關資料。建議證券公司有效利用微信、微博等新媒體開展期權投教工作，比如設立微信公眾號、服務號等，也可組織客戶或相關人員關注“上交所期權之家”微信公眾號（微信號：optiondaily）。</w:t>
      </w:r>
    </w:p>
    <w:p>
      <w:pPr>
        <w:ind w:firstLine="548" w:firstLineChars="196"/>
        <w:rPr>
          <w:rFonts w:ascii="仿宋_GB2312" w:eastAsia="仿宋_GB2312"/>
          <w:color w:val="000000"/>
          <w:sz w:val="28"/>
          <w:szCs w:val="28"/>
        </w:rPr>
      </w:pPr>
      <w:r>
        <w:rPr>
          <w:rFonts w:hint="eastAsia" w:ascii="仿宋_GB2312" w:eastAsia="宋体"/>
          <w:color w:val="000000"/>
          <w:sz w:val="28"/>
          <w:szCs w:val="28"/>
        </w:rPr>
        <w:t>2、分支機構在總部統一部署下開展股票期權投資者教育工作，也可根據自身實際情況，適時開展投資者教育工作，形式包括集中授課、分發股票期權業務投資者教育資料、設立股票期權業務投資者教育園地專欄、組織客戶參加股票期權模擬交易等。</w:t>
      </w:r>
    </w:p>
    <w:p>
      <w:pPr>
        <w:ind w:firstLine="548" w:firstLineChars="196"/>
        <w:rPr>
          <w:rFonts w:ascii="仿宋_GB2312" w:eastAsia="仿宋_GB2312"/>
          <w:color w:val="000000"/>
          <w:sz w:val="28"/>
          <w:szCs w:val="28"/>
        </w:rPr>
      </w:pPr>
      <w:r>
        <w:rPr>
          <w:rFonts w:hint="eastAsia" w:ascii="仿宋_GB2312" w:eastAsia="宋体"/>
          <w:color w:val="000000"/>
          <w:sz w:val="28"/>
          <w:szCs w:val="28"/>
        </w:rPr>
        <w:t>開展期權業務的分支機構應當開設期權投資者教育專欄，內容可以包括：股票期權投資風險揭示書、股票期權業務法律及行政法規知識介紹、股票期權業務基礎知識、股票期權風險收益特點、股票期權交易流程、股票期權知識測試流程及安排等。</w:t>
      </w:r>
    </w:p>
    <w:p>
      <w:pPr>
        <w:ind w:firstLine="548" w:firstLineChars="196"/>
        <w:rPr>
          <w:rFonts w:ascii="仿宋_GB2312" w:eastAsia="仿宋_GB2312"/>
          <w:color w:val="000000"/>
          <w:sz w:val="28"/>
          <w:szCs w:val="28"/>
        </w:rPr>
      </w:pPr>
      <w:r>
        <w:rPr>
          <w:rFonts w:hint="eastAsia" w:ascii="仿宋_GB2312" w:eastAsia="宋体"/>
          <w:color w:val="000000"/>
          <w:sz w:val="28"/>
          <w:szCs w:val="28"/>
        </w:rPr>
        <w:t>分支機構應當向申請開展股票期權業務的客戶講解股票期權業務規則、合同主要條款並提示交易風險，向客戶告知股票期權標的證券名單、開倉保證金比例、維持保證金比例、股票期權交易合約收費標準等。</w:t>
      </w:r>
    </w:p>
    <w:p>
      <w:pPr>
        <w:pStyle w:val="2"/>
        <w:ind w:firstLine="562" w:firstLineChars="200"/>
      </w:pPr>
      <w:bookmarkStart w:id="465" w:name="_Toc406438927"/>
      <w:bookmarkStart w:id="466" w:name="_Toc408750008"/>
      <w:bookmarkStart w:id="467" w:name="_Toc2906"/>
      <w:bookmarkStart w:id="468" w:name="_Toc2328"/>
      <w:bookmarkStart w:id="469" w:name="_Toc22818"/>
      <w:bookmarkStart w:id="470" w:name="二、客户投诉处理"/>
      <w:bookmarkStart w:id="471" w:name="_Toc452017059"/>
      <w:bookmarkStart w:id="472" w:name="_Toc23947194"/>
      <w:r>
        <w:rPr>
          <w:rFonts w:hint="eastAsia" w:eastAsia="宋体"/>
        </w:rPr>
        <w:t>二、客戶投訴處理</w:t>
      </w:r>
      <w:bookmarkEnd w:id="465"/>
      <w:bookmarkEnd w:id="466"/>
      <w:bookmarkEnd w:id="467"/>
      <w:bookmarkEnd w:id="468"/>
      <w:bookmarkEnd w:id="469"/>
      <w:bookmarkEnd w:id="470"/>
      <w:bookmarkEnd w:id="471"/>
      <w:bookmarkEnd w:id="472"/>
    </w:p>
    <w:p>
      <w:pPr>
        <w:ind w:firstLine="548" w:firstLineChars="196"/>
        <w:rPr>
          <w:rFonts w:ascii="仿宋_GB2312" w:eastAsia="仿宋_GB2312"/>
          <w:sz w:val="28"/>
          <w:szCs w:val="28"/>
        </w:rPr>
      </w:pPr>
      <w:r>
        <w:rPr>
          <w:rFonts w:hint="eastAsia" w:ascii="仿宋_GB2312" w:eastAsia="宋体"/>
          <w:color w:val="000000"/>
          <w:sz w:val="28"/>
          <w:szCs w:val="28"/>
        </w:rPr>
        <w:t>為保護投資者，及時消除或化解客戶因股票期權業務而發生的矛盾糾紛，避免客戶糾紛事態的擴大，保證股票期權業務有序開展，證券公司應當制定完善的客戶投訴處理流程。</w:t>
      </w:r>
      <w:bookmarkStart w:id="473" w:name="_Toc311894709"/>
    </w:p>
    <w:p>
      <w:pPr>
        <w:ind w:firstLine="562" w:firstLineChars="200"/>
        <w:rPr>
          <w:rFonts w:ascii="仿宋_GB2312" w:eastAsia="仿宋_GB2312"/>
          <w:b/>
          <w:sz w:val="28"/>
          <w:szCs w:val="28"/>
        </w:rPr>
      </w:pPr>
      <w:bookmarkStart w:id="474" w:name="_Toc406438928"/>
      <w:r>
        <w:rPr>
          <w:rFonts w:hint="eastAsia" w:ascii="仿宋_GB2312" w:eastAsia="宋体"/>
          <w:b/>
          <w:sz w:val="28"/>
          <w:szCs w:val="28"/>
        </w:rPr>
        <w:t>（一）客戶投訴的處理</w:t>
      </w:r>
      <w:bookmarkEnd w:id="473"/>
      <w:bookmarkEnd w:id="474"/>
    </w:p>
    <w:p>
      <w:pPr>
        <w:ind w:firstLine="548" w:firstLineChars="196"/>
        <w:rPr>
          <w:rFonts w:ascii="仿宋_GB2312" w:eastAsia="仿宋_GB2312"/>
          <w:color w:val="000000"/>
          <w:sz w:val="28"/>
          <w:szCs w:val="28"/>
        </w:rPr>
      </w:pPr>
      <w:r>
        <w:rPr>
          <w:rFonts w:hint="eastAsia" w:ascii="仿宋_GB2312" w:eastAsia="宋体"/>
          <w:color w:val="000000"/>
          <w:sz w:val="28"/>
          <w:szCs w:val="28"/>
        </w:rPr>
        <w:t>1、要認真做好股票期權業務客戶投訴處理、來訪接待和勸導工作，儘量化解矛盾，有效防範客戶上訪事件的發生；將投訴、信訪問題解決在基層，防止事態擴大。</w:t>
      </w:r>
    </w:p>
    <w:p>
      <w:pPr>
        <w:ind w:firstLine="548" w:firstLineChars="196"/>
        <w:rPr>
          <w:rFonts w:ascii="仿宋_GB2312" w:eastAsia="仿宋_GB2312"/>
          <w:color w:val="000000"/>
          <w:sz w:val="28"/>
          <w:szCs w:val="28"/>
        </w:rPr>
      </w:pPr>
      <w:r>
        <w:rPr>
          <w:rFonts w:hint="eastAsia" w:ascii="仿宋_GB2312" w:eastAsia="宋体"/>
          <w:color w:val="000000"/>
          <w:sz w:val="28"/>
          <w:szCs w:val="28"/>
        </w:rPr>
        <w:t xml:space="preserve">2、客戶投訴由證券公司分支機構或電話服務中心受理，並按預先制定的流程處理。建議投訴受理採取首問負責制。 </w:t>
      </w:r>
    </w:p>
    <w:p>
      <w:pPr>
        <w:ind w:firstLine="548" w:firstLineChars="196"/>
        <w:rPr>
          <w:rFonts w:ascii="仿宋_GB2312" w:eastAsia="仿宋_GB2312"/>
          <w:color w:val="000000"/>
          <w:sz w:val="28"/>
          <w:szCs w:val="28"/>
        </w:rPr>
      </w:pPr>
      <w:r>
        <w:rPr>
          <w:rFonts w:hint="eastAsia" w:ascii="仿宋_GB2312" w:eastAsia="宋体"/>
          <w:color w:val="000000"/>
          <w:sz w:val="28"/>
          <w:szCs w:val="28"/>
        </w:rPr>
        <w:t>3、對於重大投訴或交易糾紛，分支機構或電話服務中心向公司總部報備。對於其中可能影響正常交易的業務糾紛，應當自該情形出現之日起2個工作日內向本所和證券監管部門報告。</w:t>
      </w:r>
    </w:p>
    <w:p>
      <w:pPr>
        <w:ind w:firstLine="562" w:firstLineChars="200"/>
        <w:rPr>
          <w:rFonts w:ascii="仿宋_GB2312" w:eastAsia="仿宋_GB2312"/>
          <w:b/>
          <w:sz w:val="28"/>
          <w:szCs w:val="28"/>
        </w:rPr>
      </w:pPr>
      <w:bookmarkStart w:id="475" w:name="_Toc311894710"/>
      <w:bookmarkStart w:id="476" w:name="_Toc406438929"/>
      <w:r>
        <w:rPr>
          <w:rFonts w:hint="eastAsia" w:ascii="仿宋_GB2312" w:eastAsia="宋体"/>
          <w:b/>
          <w:sz w:val="28"/>
          <w:szCs w:val="28"/>
        </w:rPr>
        <w:t>（二）客戶投訴途徑和受理範圍</w:t>
      </w:r>
      <w:bookmarkEnd w:id="475"/>
      <w:bookmarkEnd w:id="476"/>
    </w:p>
    <w:p>
      <w:pPr>
        <w:ind w:firstLine="548" w:firstLineChars="196"/>
        <w:rPr>
          <w:rFonts w:ascii="仿宋_GB2312" w:eastAsia="仿宋_GB2312"/>
          <w:color w:val="000000"/>
          <w:sz w:val="28"/>
          <w:szCs w:val="28"/>
        </w:rPr>
      </w:pPr>
      <w:r>
        <w:rPr>
          <w:rFonts w:hint="eastAsia" w:ascii="仿宋_GB2312" w:eastAsia="宋体"/>
          <w:color w:val="000000"/>
          <w:sz w:val="28"/>
          <w:szCs w:val="28"/>
        </w:rPr>
        <w:t>1、證券公司網站及分支機構在現場顯著位置對外公示公司統一投訴受理管道，包括投訴電話、投訴郵箱，投資者可現場或通過電話、郵件等形式向證券公司或分支機構投訴。</w:t>
      </w:r>
    </w:p>
    <w:p>
      <w:pPr>
        <w:ind w:firstLine="548" w:firstLineChars="196"/>
        <w:rPr>
          <w:rFonts w:ascii="仿宋_GB2312" w:eastAsia="仿宋_GB2312"/>
          <w:color w:val="000000"/>
          <w:sz w:val="28"/>
          <w:szCs w:val="28"/>
        </w:rPr>
      </w:pPr>
      <w:r>
        <w:rPr>
          <w:rFonts w:hint="eastAsia" w:ascii="仿宋_GB2312" w:eastAsia="宋体"/>
          <w:color w:val="000000"/>
          <w:sz w:val="28"/>
          <w:szCs w:val="28"/>
        </w:rPr>
        <w:t>2、公司受理符合下列條件的股票期權業務客戶投訴：</w:t>
      </w:r>
    </w:p>
    <w:p>
      <w:pPr>
        <w:ind w:firstLine="548" w:firstLineChars="196"/>
        <w:rPr>
          <w:rFonts w:ascii="仿宋_GB2312" w:eastAsia="仿宋_GB2312"/>
          <w:color w:val="000000"/>
          <w:sz w:val="28"/>
          <w:szCs w:val="28"/>
        </w:rPr>
      </w:pPr>
      <w:r>
        <w:rPr>
          <w:rFonts w:hint="eastAsia" w:ascii="仿宋_GB2312" w:eastAsia="宋体"/>
          <w:color w:val="000000"/>
          <w:sz w:val="28"/>
          <w:szCs w:val="28"/>
        </w:rPr>
        <w:t>（1）投訴人是與投訴事項有直接利害關係的當事人；</w:t>
      </w:r>
    </w:p>
    <w:p>
      <w:pPr>
        <w:ind w:firstLine="548" w:firstLineChars="196"/>
        <w:rPr>
          <w:rFonts w:ascii="仿宋_GB2312" w:eastAsia="仿宋_GB2312"/>
          <w:color w:val="000000"/>
          <w:sz w:val="28"/>
          <w:szCs w:val="28"/>
        </w:rPr>
      </w:pPr>
      <w:r>
        <w:rPr>
          <w:rFonts w:hint="eastAsia" w:ascii="仿宋_GB2312" w:eastAsia="宋体"/>
          <w:color w:val="000000"/>
          <w:sz w:val="28"/>
          <w:szCs w:val="28"/>
        </w:rPr>
        <w:t>（2）有明確的被投訴人或被投訴部門；</w:t>
      </w:r>
    </w:p>
    <w:p>
      <w:pPr>
        <w:ind w:firstLine="548" w:firstLineChars="196"/>
        <w:rPr>
          <w:rFonts w:ascii="仿宋_GB2312" w:eastAsia="仿宋_GB2312"/>
          <w:color w:val="000000"/>
          <w:sz w:val="28"/>
          <w:szCs w:val="28"/>
        </w:rPr>
      </w:pPr>
      <w:r>
        <w:rPr>
          <w:rFonts w:hint="eastAsia" w:ascii="仿宋_GB2312" w:eastAsia="宋体"/>
          <w:color w:val="000000"/>
          <w:sz w:val="28"/>
          <w:szCs w:val="28"/>
        </w:rPr>
        <w:t>（3）投訴事項明確具體且有事實依據；</w:t>
      </w:r>
    </w:p>
    <w:p>
      <w:pPr>
        <w:ind w:firstLine="548" w:firstLineChars="196"/>
        <w:rPr>
          <w:rFonts w:ascii="仿宋_GB2312" w:eastAsia="仿宋_GB2312"/>
          <w:color w:val="000000"/>
          <w:sz w:val="28"/>
          <w:szCs w:val="28"/>
        </w:rPr>
      </w:pPr>
      <w:r>
        <w:rPr>
          <w:rFonts w:hint="eastAsia" w:ascii="仿宋_GB2312" w:eastAsia="宋体"/>
          <w:color w:val="000000"/>
          <w:sz w:val="28"/>
          <w:szCs w:val="28"/>
        </w:rPr>
        <w:t>（4）證券公司規定的其他條件。</w:t>
      </w:r>
    </w:p>
    <w:p>
      <w:pPr>
        <w:ind w:firstLine="562" w:firstLineChars="200"/>
        <w:rPr>
          <w:rFonts w:ascii="仿宋_GB2312" w:eastAsia="仿宋_GB2312"/>
          <w:b/>
          <w:sz w:val="28"/>
          <w:szCs w:val="28"/>
        </w:rPr>
      </w:pPr>
      <w:bookmarkStart w:id="477" w:name="_Toc311894713"/>
      <w:bookmarkStart w:id="478" w:name="_Toc406438930"/>
      <w:r>
        <w:rPr>
          <w:rFonts w:hint="eastAsia" w:ascii="仿宋_GB2312" w:eastAsia="宋体"/>
          <w:b/>
          <w:sz w:val="28"/>
          <w:szCs w:val="28"/>
        </w:rPr>
        <w:t>（三）投訴處理流程</w:t>
      </w:r>
      <w:bookmarkEnd w:id="477"/>
      <w:bookmarkEnd w:id="478"/>
    </w:p>
    <w:p>
      <w:pPr>
        <w:ind w:firstLine="560" w:firstLineChars="200"/>
        <w:rPr>
          <w:rFonts w:ascii="仿宋_GB2312" w:eastAsia="仿宋_GB2312"/>
          <w:color w:val="000000"/>
          <w:sz w:val="28"/>
          <w:szCs w:val="28"/>
        </w:rPr>
      </w:pPr>
      <w:r>
        <w:rPr>
          <w:rFonts w:hint="eastAsia" w:ascii="仿宋_GB2312" w:eastAsia="宋体"/>
          <w:color w:val="000000"/>
          <w:sz w:val="28"/>
          <w:szCs w:val="28"/>
        </w:rPr>
        <w:t>1、投訴受理</w:t>
      </w:r>
    </w:p>
    <w:p>
      <w:pPr>
        <w:ind w:firstLine="548" w:firstLineChars="196"/>
        <w:rPr>
          <w:rFonts w:ascii="仿宋_GB2312" w:eastAsia="仿宋_GB2312"/>
          <w:color w:val="000000"/>
          <w:sz w:val="28"/>
          <w:szCs w:val="28"/>
        </w:rPr>
      </w:pPr>
      <w:r>
        <w:rPr>
          <w:rFonts w:hint="eastAsia" w:ascii="仿宋_GB2312" w:eastAsia="宋体"/>
          <w:color w:val="000000"/>
          <w:sz w:val="28"/>
          <w:szCs w:val="28"/>
        </w:rPr>
        <w:t>分支機構或電話服務中心的客服人員接到投訴後，詳細記錄客戶的姓名、客戶編號、聯繫方式、地址、客戶投訴的內容和客戶期望的處理結果等。</w:t>
      </w:r>
    </w:p>
    <w:p>
      <w:pPr>
        <w:ind w:firstLine="560" w:firstLineChars="200"/>
        <w:rPr>
          <w:rFonts w:ascii="仿宋_GB2312" w:eastAsia="仿宋_GB2312"/>
          <w:color w:val="000000"/>
          <w:sz w:val="28"/>
          <w:szCs w:val="28"/>
        </w:rPr>
      </w:pPr>
      <w:r>
        <w:rPr>
          <w:rFonts w:hint="eastAsia" w:ascii="仿宋_GB2312" w:eastAsia="宋体"/>
          <w:color w:val="000000"/>
          <w:sz w:val="28"/>
          <w:szCs w:val="28"/>
        </w:rPr>
        <w:t>2、投訴分析</w:t>
      </w:r>
    </w:p>
    <w:p>
      <w:pPr>
        <w:ind w:firstLine="548" w:firstLineChars="196"/>
        <w:rPr>
          <w:rFonts w:ascii="仿宋_GB2312" w:eastAsia="仿宋_GB2312"/>
          <w:color w:val="000000"/>
          <w:sz w:val="28"/>
          <w:szCs w:val="28"/>
        </w:rPr>
      </w:pPr>
      <w:r>
        <w:rPr>
          <w:rFonts w:hint="eastAsia" w:ascii="仿宋_GB2312" w:eastAsia="宋体"/>
          <w:color w:val="000000"/>
          <w:sz w:val="28"/>
          <w:szCs w:val="28"/>
        </w:rPr>
        <w:t>客戶服務人員在受理後立即根據登記內容進行分析，判斷投訴是否符合受理條件，並及時通知投訴責任部門或人員。</w:t>
      </w:r>
    </w:p>
    <w:p>
      <w:pPr>
        <w:rPr>
          <w:rFonts w:ascii="仿宋_GB2312" w:eastAsia="仿宋_GB2312"/>
          <w:color w:val="000000"/>
          <w:sz w:val="28"/>
          <w:szCs w:val="28"/>
        </w:rPr>
      </w:pPr>
      <w:r>
        <w:rPr>
          <w:rFonts w:hint="eastAsia" w:ascii="仿宋_GB2312" w:eastAsia="宋体"/>
          <w:color w:val="000000"/>
          <w:sz w:val="28"/>
          <w:szCs w:val="28"/>
        </w:rPr>
        <w:t xml:space="preserve">    3、投訴調查</w:t>
      </w:r>
    </w:p>
    <w:p>
      <w:pPr>
        <w:ind w:firstLine="548" w:firstLineChars="196"/>
        <w:rPr>
          <w:rFonts w:ascii="仿宋_GB2312" w:eastAsia="仿宋_GB2312"/>
          <w:color w:val="000000"/>
          <w:sz w:val="28"/>
          <w:szCs w:val="28"/>
        </w:rPr>
      </w:pPr>
      <w:r>
        <w:rPr>
          <w:rFonts w:hint="eastAsia" w:ascii="仿宋_GB2312" w:eastAsia="宋体"/>
          <w:color w:val="000000"/>
          <w:sz w:val="28"/>
          <w:szCs w:val="28"/>
        </w:rPr>
        <w:t>責任部門在收到投訴當日，及時對投訴的事實、投訴的原因、主要責任人等內容進行調查，明確導致投訴問題發生的事件、責任人，確認投訴產生的主客觀原因。</w:t>
      </w:r>
    </w:p>
    <w:p>
      <w:pPr>
        <w:ind w:firstLine="560" w:firstLineChars="200"/>
        <w:rPr>
          <w:rFonts w:ascii="仿宋_GB2312" w:eastAsia="仿宋_GB2312"/>
          <w:color w:val="000000"/>
          <w:sz w:val="28"/>
          <w:szCs w:val="28"/>
        </w:rPr>
      </w:pPr>
      <w:r>
        <w:rPr>
          <w:rFonts w:hint="eastAsia" w:ascii="仿宋_GB2312" w:eastAsia="宋体"/>
          <w:color w:val="000000"/>
          <w:sz w:val="28"/>
          <w:szCs w:val="28"/>
        </w:rPr>
        <w:t>4、投訴處理</w:t>
      </w:r>
    </w:p>
    <w:p>
      <w:pPr>
        <w:ind w:firstLine="548" w:firstLineChars="196"/>
        <w:rPr>
          <w:rFonts w:ascii="仿宋_GB2312" w:eastAsia="仿宋_GB2312"/>
          <w:color w:val="000000"/>
          <w:sz w:val="28"/>
          <w:szCs w:val="28"/>
        </w:rPr>
      </w:pPr>
      <w:r>
        <w:rPr>
          <w:rFonts w:hint="eastAsia" w:ascii="仿宋_GB2312" w:eastAsia="宋体"/>
          <w:color w:val="000000"/>
          <w:sz w:val="28"/>
          <w:szCs w:val="28"/>
        </w:rPr>
        <w:t xml:space="preserve">責任部門負責根據調查的實際情況，參照客戶的投訴要求，提出解決投訴的具體方案，如溝通解釋、道歉、糾錯、賠償等。 </w:t>
      </w:r>
    </w:p>
    <w:p>
      <w:pPr>
        <w:ind w:firstLine="548" w:firstLineChars="196"/>
        <w:rPr>
          <w:rFonts w:ascii="仿宋_GB2312" w:eastAsia="仿宋_GB2312"/>
          <w:color w:val="000000"/>
          <w:sz w:val="28"/>
          <w:szCs w:val="28"/>
        </w:rPr>
      </w:pPr>
      <w:r>
        <w:rPr>
          <w:rFonts w:hint="eastAsia" w:ascii="仿宋_GB2312" w:eastAsia="宋体"/>
          <w:color w:val="000000"/>
          <w:sz w:val="28"/>
          <w:szCs w:val="28"/>
        </w:rPr>
        <w:t>分支機構在客戶投訴處理完畢後，由首次受理客戶投訴的人員通過電話錄音、書面留痕等方式向客戶確認處理結果。</w:t>
      </w:r>
    </w:p>
    <w:p>
      <w:pPr>
        <w:ind w:firstLine="562" w:firstLineChars="200"/>
        <w:rPr>
          <w:rFonts w:ascii="仿宋_GB2312" w:eastAsia="仿宋_GB2312"/>
          <w:b/>
          <w:sz w:val="28"/>
          <w:szCs w:val="28"/>
        </w:rPr>
      </w:pPr>
      <w:bookmarkStart w:id="479" w:name="_Toc311894715"/>
      <w:bookmarkStart w:id="480" w:name="_Toc406438931"/>
      <w:r>
        <w:rPr>
          <w:rFonts w:hint="eastAsia" w:ascii="仿宋_GB2312" w:eastAsia="宋体"/>
          <w:b/>
          <w:sz w:val="28"/>
          <w:szCs w:val="28"/>
        </w:rPr>
        <w:t>（四）客戶投訴檔案的管理</w:t>
      </w:r>
      <w:bookmarkEnd w:id="479"/>
      <w:bookmarkEnd w:id="480"/>
      <w:r>
        <w:rPr>
          <w:rFonts w:hint="eastAsia" w:ascii="仿宋_GB2312" w:eastAsia="宋体"/>
          <w:b/>
          <w:sz w:val="28"/>
          <w:szCs w:val="28"/>
        </w:rPr>
        <w:t xml:space="preserve"> </w:t>
      </w:r>
    </w:p>
    <w:p>
      <w:pPr>
        <w:ind w:firstLine="548" w:firstLineChars="196"/>
        <w:rPr>
          <w:rFonts w:ascii="仿宋_GB2312" w:eastAsia="仿宋_GB2312"/>
          <w:sz w:val="28"/>
          <w:szCs w:val="28"/>
        </w:rPr>
      </w:pPr>
      <w:r>
        <w:rPr>
          <w:rFonts w:hint="eastAsia" w:ascii="仿宋_GB2312" w:eastAsia="宋体"/>
          <w:color w:val="000000"/>
          <w:sz w:val="28"/>
          <w:szCs w:val="28"/>
        </w:rPr>
        <w:t>證券公司應當完整記錄客戶投訴受理、調查和處理的過程，並形成書面、錄音和電子檔案，其保存期限為20年。</w:t>
      </w:r>
      <w:bookmarkStart w:id="481" w:name="_Toc403729890"/>
      <w:bookmarkStart w:id="482" w:name="_Toc403729891"/>
    </w:p>
    <w:bookmarkEnd w:id="481"/>
    <w:bookmarkEnd w:id="482"/>
    <w:p>
      <w:pPr>
        <w:pStyle w:val="2"/>
      </w:pPr>
      <w:bookmarkStart w:id="483" w:name="_Toc406436507"/>
      <w:bookmarkStart w:id="484" w:name="_Toc406438932"/>
      <w:bookmarkStart w:id="485" w:name="_Toc406438956"/>
      <w:bookmarkStart w:id="486" w:name="_Toc406439141"/>
      <w:r>
        <w:rPr>
          <w:rFonts w:hint="eastAsia"/>
          <w:szCs w:val="28"/>
        </w:rPr>
        <w:br w:type="page"/>
      </w:r>
      <w:bookmarkEnd w:id="483"/>
      <w:bookmarkEnd w:id="484"/>
      <w:bookmarkEnd w:id="485"/>
      <w:bookmarkEnd w:id="486"/>
      <w:bookmarkStart w:id="487" w:name="_Toc408750009"/>
      <w:bookmarkEnd w:id="487"/>
      <w:bookmarkStart w:id="488" w:name="_Toc23947195"/>
      <w:bookmarkStart w:id="489" w:name="附件一：适当性综合评估样表"/>
      <w:bookmarkStart w:id="490" w:name="适当性综合评估样表"/>
      <w:r>
        <w:rPr>
          <w:rFonts w:hint="eastAsia" w:eastAsia="宋体"/>
        </w:rPr>
        <w:t>附件一：</w:t>
      </w:r>
      <w:bookmarkEnd w:id="488"/>
    </w:p>
    <w:p>
      <w:pPr>
        <w:pStyle w:val="2"/>
      </w:pPr>
      <w:bookmarkStart w:id="491" w:name="_Toc9483"/>
      <w:bookmarkStart w:id="492" w:name="_Toc17332"/>
      <w:bookmarkStart w:id="493" w:name="_Toc23947196"/>
      <w:r>
        <w:rPr>
          <w:rFonts w:hint="eastAsia" w:eastAsia="宋体"/>
        </w:rPr>
        <w:t>適當性綜合評估樣表</w:t>
      </w:r>
      <w:bookmarkEnd w:id="489"/>
      <w:bookmarkEnd w:id="491"/>
      <w:bookmarkEnd w:id="492"/>
      <w:bookmarkEnd w:id="493"/>
    </w:p>
    <w:bookmarkEnd w:id="490"/>
    <w:p>
      <w:pPr>
        <w:pStyle w:val="24"/>
        <w:snapToGrid w:val="0"/>
        <w:spacing w:line="360" w:lineRule="auto"/>
        <w:ind w:firstLine="480" w:firstLineChars="200"/>
        <w:rPr>
          <w:rFonts w:ascii="仿宋_GB2312" w:hAnsi="仿宋" w:eastAsia="仿宋_GB2312"/>
        </w:rPr>
      </w:pPr>
      <w:r>
        <w:rPr>
          <w:rFonts w:hint="eastAsia" w:ascii="仿宋_GB2312" w:hAnsi="仿宋" w:eastAsia="宋体"/>
        </w:rPr>
        <w:t>本樣表僅供各期權經營機構參考，各期權經營機構可以根據自身實際情況和投資者特點，制定各自的適當性綜合評估表。</w:t>
      </w:r>
    </w:p>
    <w:tbl>
      <w:tblPr>
        <w:tblStyle w:val="27"/>
        <w:tblW w:w="0" w:type="auto"/>
        <w:tblInd w:w="96" w:type="dxa"/>
        <w:tblLayout w:type="fixed"/>
        <w:tblCellMar>
          <w:top w:w="0" w:type="dxa"/>
          <w:left w:w="108" w:type="dxa"/>
          <w:bottom w:w="0" w:type="dxa"/>
          <w:right w:w="108" w:type="dxa"/>
        </w:tblCellMar>
      </w:tblPr>
      <w:tblGrid>
        <w:gridCol w:w="4800"/>
        <w:gridCol w:w="2200"/>
        <w:gridCol w:w="1600"/>
      </w:tblGrid>
      <w:tr>
        <w:tblPrEx>
          <w:tblCellMar>
            <w:top w:w="0" w:type="dxa"/>
            <w:left w:w="108" w:type="dxa"/>
            <w:bottom w:w="0" w:type="dxa"/>
            <w:right w:w="108" w:type="dxa"/>
          </w:tblCellMar>
        </w:tblPrEx>
        <w:trPr>
          <w:trHeight w:val="510" w:hRule="atLeast"/>
        </w:trPr>
        <w:tc>
          <w:tcPr>
            <w:tcW w:w="70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指標專案</w:t>
            </w:r>
          </w:p>
        </w:tc>
        <w:tc>
          <w:tcPr>
            <w:tcW w:w="1600" w:type="dxa"/>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是否達到要求（勾選）</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一、相關投資經歷</w:t>
            </w:r>
          </w:p>
        </w:tc>
      </w:tr>
      <w:tr>
        <w:tblPrEx>
          <w:tblCellMar>
            <w:top w:w="0" w:type="dxa"/>
            <w:left w:w="108" w:type="dxa"/>
            <w:bottom w:w="0" w:type="dxa"/>
            <w:right w:w="108" w:type="dxa"/>
          </w:tblCellMar>
        </w:tblPrEx>
        <w:trPr>
          <w:trHeight w:val="270" w:hRule="atLeast"/>
        </w:trPr>
        <w:tc>
          <w:tcPr>
            <w:tcW w:w="700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具備擬申請交易許可權要求的期權模擬交易經歷</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700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滬市A股帳戶開立合計6個月以上</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700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具備融資融券業務參與資格或者金融期貨交易經歷</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二、金融類資產狀況</w:t>
            </w:r>
          </w:p>
        </w:tc>
      </w:tr>
      <w:tr>
        <w:tblPrEx>
          <w:tblCellMar>
            <w:top w:w="0" w:type="dxa"/>
            <w:left w:w="108" w:type="dxa"/>
            <w:bottom w:w="0" w:type="dxa"/>
            <w:right w:w="108" w:type="dxa"/>
          </w:tblCellMar>
        </w:tblPrEx>
        <w:trPr>
          <w:trHeight w:val="585" w:hRule="atLeast"/>
        </w:trPr>
        <w:tc>
          <w:tcPr>
            <w:tcW w:w="700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證券市值與資金帳戶可用餘額（不含融資融券客戶信用證券帳戶內的證券市值和信用資金帳戶內的資金）人民幣50萬元以上</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三、期權基礎知識水準</w:t>
            </w:r>
          </w:p>
        </w:tc>
      </w:tr>
      <w:tr>
        <w:tblPrEx>
          <w:tblCellMar>
            <w:top w:w="0" w:type="dxa"/>
            <w:left w:w="108" w:type="dxa"/>
            <w:bottom w:w="0" w:type="dxa"/>
            <w:right w:w="108" w:type="dxa"/>
          </w:tblCellMar>
        </w:tblPrEx>
        <w:trPr>
          <w:trHeight w:val="270" w:hRule="atLeast"/>
        </w:trPr>
        <w:tc>
          <w:tcPr>
            <w:tcW w:w="48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宋体" w:cs="宋体"/>
                <w:color w:val="000000"/>
                <w:kern w:val="0"/>
                <w:szCs w:val="21"/>
              </w:rPr>
              <w:t>期權知識測試成績</w:t>
            </w:r>
          </w:p>
        </w:tc>
        <w:tc>
          <w:tcPr>
            <w:tcW w:w="2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一級知識測試通過</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48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2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二級知識測試通過</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48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2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三級知識測試通過</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48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2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綜合知識測試通過</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四、風險評估</w:t>
            </w:r>
          </w:p>
        </w:tc>
      </w:tr>
      <w:tr>
        <w:tblPrEx>
          <w:tblCellMar>
            <w:top w:w="0" w:type="dxa"/>
            <w:left w:w="108" w:type="dxa"/>
            <w:bottom w:w="0" w:type="dxa"/>
            <w:right w:w="108" w:type="dxa"/>
          </w:tblCellMar>
        </w:tblPrEx>
        <w:trPr>
          <w:trHeight w:val="377" w:hRule="atLeast"/>
        </w:trPr>
        <w:tc>
          <w:tcPr>
            <w:tcW w:w="7000" w:type="dxa"/>
            <w:gridSpan w:val="2"/>
            <w:tcBorders>
              <w:top w:val="nil"/>
              <w:left w:val="single" w:color="auto" w:sz="4" w:space="0"/>
              <w:right w:val="single" w:color="auto" w:sz="4" w:space="0"/>
            </w:tcBorders>
            <w:vAlign w:val="center"/>
          </w:tcPr>
          <w:p>
            <w:pPr>
              <w:widowControl/>
              <w:ind w:firstLine="1155" w:firstLineChars="550"/>
              <w:rPr>
                <w:rFonts w:ascii="仿宋_GB2312" w:hAnsi="宋体" w:eastAsia="仿宋_GB2312" w:cs="宋体"/>
                <w:color w:val="000000"/>
                <w:kern w:val="0"/>
                <w:sz w:val="18"/>
                <w:szCs w:val="21"/>
              </w:rPr>
            </w:pPr>
            <w:r>
              <w:rPr>
                <w:rFonts w:hint="eastAsia" w:ascii="仿宋_GB2312" w:hAnsi="宋体" w:eastAsia="宋体" w:cs="宋体"/>
                <w:color w:val="000000"/>
                <w:kern w:val="0"/>
                <w:szCs w:val="21"/>
              </w:rPr>
              <w:t xml:space="preserve">  通過風險承受能力評估</w:t>
            </w:r>
          </w:p>
        </w:tc>
        <w:tc>
          <w:tcPr>
            <w:tcW w:w="1600" w:type="dxa"/>
            <w:tcBorders>
              <w:top w:val="nil"/>
              <w:left w:val="nil"/>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五、不良誠信記錄</w:t>
            </w:r>
          </w:p>
        </w:tc>
      </w:tr>
      <w:tr>
        <w:tblPrEx>
          <w:tblCellMar>
            <w:top w:w="0" w:type="dxa"/>
            <w:left w:w="108" w:type="dxa"/>
            <w:bottom w:w="0" w:type="dxa"/>
            <w:right w:w="108" w:type="dxa"/>
          </w:tblCellMar>
        </w:tblPrEx>
        <w:trPr>
          <w:trHeight w:val="373" w:hRule="atLeast"/>
        </w:trPr>
        <w:tc>
          <w:tcPr>
            <w:tcW w:w="7000" w:type="dxa"/>
            <w:gridSpan w:val="2"/>
            <w:tcBorders>
              <w:top w:val="nil"/>
              <w:left w:val="single" w:color="auto" w:sz="4" w:space="0"/>
              <w:right w:val="single" w:color="auto" w:sz="4" w:space="0"/>
            </w:tcBorders>
            <w:vAlign w:val="center"/>
          </w:tcPr>
          <w:p>
            <w:pPr>
              <w:widowControl/>
              <w:ind w:firstLine="1365" w:firstLineChars="650"/>
              <w:rPr>
                <w:rFonts w:ascii="仿宋_GB2312" w:hAnsi="宋体" w:eastAsia="仿宋_GB2312" w:cs="宋体"/>
                <w:color w:val="000000"/>
                <w:kern w:val="0"/>
                <w:szCs w:val="21"/>
              </w:rPr>
            </w:pPr>
            <w:r>
              <w:rPr>
                <w:rFonts w:hint="eastAsia" w:ascii="仿宋_GB2312" w:hAnsi="宋体" w:eastAsia="宋体" w:cs="宋体"/>
                <w:color w:val="000000"/>
                <w:kern w:val="0"/>
                <w:szCs w:val="21"/>
              </w:rPr>
              <w:t>無不良誠信記錄</w:t>
            </w:r>
          </w:p>
        </w:tc>
        <w:tc>
          <w:tcPr>
            <w:tcW w:w="1600" w:type="dxa"/>
            <w:tcBorders>
              <w:top w:val="nil"/>
              <w:left w:val="nil"/>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本人承諾</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1、本人對所提供相關證明材料的真實性負責，並自願承擔因材料不實導致的一切後果。</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2、本人不存在重大未申報的不良信用記錄。</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3、本人不存在證券市場禁入以及法律、行政法規、規章和上海證券交易所業務規則禁止</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從事期權交易的情形。</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4、本人身體健康，不存在不適宜從事期權交易的情形。</w:t>
            </w:r>
          </w:p>
        </w:tc>
      </w:tr>
      <w:tr>
        <w:tblPrEx>
          <w:tblCellMar>
            <w:top w:w="0" w:type="dxa"/>
            <w:left w:w="108" w:type="dxa"/>
            <w:bottom w:w="0" w:type="dxa"/>
            <w:right w:w="108" w:type="dxa"/>
          </w:tblCellMar>
        </w:tblPrEx>
        <w:trPr>
          <w:trHeight w:val="285"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 xml:space="preserve">投資者（簽字）：                             </w:t>
            </w:r>
            <w:r>
              <w:rPr>
                <w:rFonts w:hint="eastAsia" w:ascii="仿宋_GB2312" w:hAnsi="宋体" w:eastAsia="宋体" w:cs="宋体"/>
                <w:b/>
                <w:color w:val="000000"/>
                <w:kern w:val="0"/>
                <w:szCs w:val="21"/>
              </w:rPr>
              <w:t>日期：</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 xml:space="preserve">分支機構開戶經辦人（簽字）：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日期：</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 xml:space="preserve">分支機構負責人或其授權人（簽字）：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日期：</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評估意見：</w:t>
            </w:r>
          </w:p>
        </w:tc>
      </w:tr>
      <w:tr>
        <w:tblPrEx>
          <w:tblCellMar>
            <w:top w:w="0" w:type="dxa"/>
            <w:left w:w="108" w:type="dxa"/>
            <w:bottom w:w="0" w:type="dxa"/>
            <w:right w:w="108" w:type="dxa"/>
          </w:tblCellMar>
        </w:tblPrEx>
        <w:trPr>
          <w:trHeight w:val="570" w:hRule="atLeast"/>
        </w:trPr>
        <w:tc>
          <w:tcPr>
            <w:tcW w:w="8600" w:type="dxa"/>
            <w:gridSpan w:val="3"/>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18"/>
                <w:szCs w:val="21"/>
              </w:rPr>
            </w:pPr>
            <w:r>
              <w:rPr>
                <w:rFonts w:hint="eastAsia" w:ascii="仿宋_GB2312" w:hAnsi="宋体" w:eastAsia="宋体" w:cs="宋体"/>
                <w:color w:val="000000"/>
                <w:kern w:val="0"/>
                <w:szCs w:val="21"/>
              </w:rPr>
              <w:t>經綜合考慮，建議授予投資者</w:t>
            </w:r>
            <w:r>
              <w:rPr>
                <w:rFonts w:ascii="仿宋_GB2312" w:hAnsi="宋体" w:eastAsia="宋体" w:cs="宋体"/>
                <w:color w:val="000000"/>
                <w:kern w:val="0"/>
                <w:szCs w:val="21"/>
                <w:u w:val="single"/>
              </w:rPr>
              <w:t xml:space="preserve">    </w:t>
            </w:r>
            <w:r>
              <w:rPr>
                <w:rFonts w:hint="eastAsia" w:ascii="仿宋_GB2312" w:hAnsi="宋体" w:eastAsia="宋体" w:cs="宋体"/>
                <w:color w:val="000000"/>
                <w:kern w:val="0"/>
                <w:szCs w:val="21"/>
              </w:rPr>
              <w:t>級股票期權交易許可權。</w:t>
            </w:r>
          </w:p>
        </w:tc>
      </w:tr>
      <w:tr>
        <w:tblPrEx>
          <w:tblCellMar>
            <w:top w:w="0" w:type="dxa"/>
            <w:left w:w="108" w:type="dxa"/>
            <w:bottom w:w="0" w:type="dxa"/>
            <w:right w:w="108" w:type="dxa"/>
          </w:tblCellMar>
        </w:tblPrEx>
        <w:trPr>
          <w:trHeight w:val="285" w:hRule="atLeast"/>
        </w:trPr>
        <w:tc>
          <w:tcPr>
            <w:tcW w:w="8600" w:type="dxa"/>
            <w:gridSpan w:val="3"/>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提示：評估意見不構成投資建議，亦不構成對投資者的獲利保證。</w:t>
            </w:r>
          </w:p>
        </w:tc>
      </w:tr>
    </w:tbl>
    <w:p>
      <w:pPr>
        <w:pStyle w:val="2"/>
      </w:pPr>
      <w:bookmarkStart w:id="494" w:name="_Toc452017060"/>
      <w:bookmarkStart w:id="495" w:name="_Toc23947197"/>
      <w:bookmarkStart w:id="496" w:name="附件二：上海证券交易所股票期权经纪业务联系人"/>
      <w:r>
        <w:rPr>
          <w:rFonts w:hint="eastAsia" w:eastAsia="宋体"/>
        </w:rPr>
        <w:t>附件二</w:t>
      </w:r>
      <w:bookmarkEnd w:id="494"/>
      <w:bookmarkEnd w:id="495"/>
    </w:p>
    <w:p>
      <w:pPr>
        <w:pStyle w:val="2"/>
      </w:pPr>
      <w:bookmarkStart w:id="497" w:name="_Toc16876"/>
      <w:bookmarkStart w:id="498" w:name="_Toc3267"/>
      <w:bookmarkStart w:id="499" w:name="_Toc23947198"/>
      <w:r>
        <w:rPr>
          <w:rFonts w:hint="eastAsia" w:eastAsia="宋体"/>
        </w:rPr>
        <w:t>股票期權業務程式交易報備表</w:t>
      </w:r>
      <w:bookmarkEnd w:id="497"/>
      <w:bookmarkEnd w:id="498"/>
      <w:bookmarkEnd w:id="499"/>
    </w:p>
    <w:tbl>
      <w:tblPr>
        <w:tblStyle w:val="27"/>
        <w:tblW w:w="0" w:type="auto"/>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
        <w:gridCol w:w="708"/>
        <w:gridCol w:w="1133"/>
        <w:gridCol w:w="848"/>
        <w:gridCol w:w="566"/>
        <w:gridCol w:w="1274"/>
        <w:gridCol w:w="849"/>
        <w:gridCol w:w="566"/>
        <w:gridCol w:w="636"/>
        <w:gridCol w:w="71"/>
        <w:gridCol w:w="1132"/>
        <w:gridCol w:w="283"/>
        <w:gridCol w:w="142"/>
        <w:gridCol w:w="2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52" w:hRule="atLeast"/>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期權經營機構名稱</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期權經營機構編碼</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Borders>
              <w:bottom w:val="single" w:color="auto" w:sz="4" w:space="0"/>
            </w:tcBorders>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報備帳戶類型</w:t>
            </w:r>
          </w:p>
        </w:tc>
        <w:tc>
          <w:tcPr>
            <w:tcW w:w="2689" w:type="dxa"/>
            <w:gridSpan w:val="3"/>
            <w:tcBorders>
              <w:bottom w:val="single" w:color="auto" w:sz="4" w:space="0"/>
            </w:tcBorders>
          </w:tcPr>
          <w:p>
            <w:pPr>
              <w:pStyle w:val="96"/>
              <w:numPr>
                <w:ilvl w:val="0"/>
                <w:numId w:val="5"/>
              </w:numPr>
              <w:spacing w:beforeLines="50" w:afterLines="50"/>
              <w:ind w:firstLineChars="0"/>
              <w:rPr>
                <w:rFonts w:hAnsi="Times New Roman" w:cs="宋体"/>
                <w:sz w:val="24"/>
              </w:rPr>
            </w:pPr>
            <w:r>
              <w:rPr>
                <w:rFonts w:hint="eastAsia" w:hAnsi="Times New Roman" w:eastAsia="宋体" w:cs="宋体"/>
                <w:sz w:val="24"/>
              </w:rPr>
              <w:t>首次報備</w:t>
            </w:r>
          </w:p>
          <w:p>
            <w:pPr>
              <w:pStyle w:val="96"/>
              <w:numPr>
                <w:ilvl w:val="0"/>
                <w:numId w:val="5"/>
              </w:numPr>
              <w:spacing w:beforeLines="50" w:afterLines="50"/>
              <w:ind w:firstLineChars="0"/>
              <w:rPr>
                <w:rFonts w:hAnsi="Times New Roman" w:cs="宋体"/>
                <w:sz w:val="24"/>
              </w:rPr>
            </w:pPr>
            <w:r>
              <w:rPr>
                <w:rFonts w:hint="eastAsia" w:hAnsi="Times New Roman" w:eastAsia="宋体" w:cs="宋体"/>
                <w:sz w:val="24"/>
              </w:rPr>
              <w:t>變更報備</w:t>
            </w:r>
          </w:p>
          <w:p>
            <w:pPr>
              <w:pStyle w:val="96"/>
              <w:numPr>
                <w:ilvl w:val="0"/>
                <w:numId w:val="5"/>
              </w:numPr>
              <w:spacing w:beforeLines="50" w:afterLines="50"/>
              <w:ind w:firstLineChars="0"/>
              <w:rPr>
                <w:rFonts w:hAnsi="Times New Roman" w:cs="宋体"/>
                <w:sz w:val="24"/>
              </w:rPr>
            </w:pPr>
            <w:r>
              <w:rPr>
                <w:rFonts w:hint="eastAsia" w:hAnsi="Times New Roman" w:eastAsia="宋体" w:cs="宋体"/>
                <w:sz w:val="24"/>
              </w:rPr>
              <w:t>撤銷報備</w:t>
            </w:r>
          </w:p>
        </w:tc>
        <w:tc>
          <w:tcPr>
            <w:tcW w:w="2405" w:type="dxa"/>
            <w:gridSpan w:val="4"/>
            <w:tcBorders>
              <w:bottom w:val="single" w:color="auto" w:sz="4" w:space="0"/>
            </w:tcBorders>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報備帳戶類型</w:t>
            </w:r>
          </w:p>
        </w:tc>
        <w:tc>
          <w:tcPr>
            <w:tcW w:w="2689" w:type="dxa"/>
            <w:gridSpan w:val="3"/>
            <w:tcBorders>
              <w:bottom w:val="single" w:color="auto" w:sz="4" w:space="0"/>
            </w:tcBorders>
          </w:tcPr>
          <w:p>
            <w:pPr>
              <w:pStyle w:val="96"/>
              <w:numPr>
                <w:ilvl w:val="0"/>
                <w:numId w:val="5"/>
              </w:numPr>
              <w:spacing w:beforeLines="50" w:afterLines="50"/>
              <w:ind w:firstLineChars="0"/>
              <w:rPr>
                <w:rFonts w:hAnsi="Times New Roman" w:cs="宋体"/>
                <w:sz w:val="24"/>
              </w:rPr>
            </w:pPr>
            <w:r>
              <w:rPr>
                <w:rFonts w:hint="eastAsia" w:hAnsi="Times New Roman" w:eastAsia="宋体" w:cs="宋体"/>
                <w:sz w:val="24"/>
              </w:rPr>
              <w:t>個人帳戶</w:t>
            </w:r>
          </w:p>
          <w:p>
            <w:pPr>
              <w:pStyle w:val="96"/>
              <w:numPr>
                <w:ilvl w:val="0"/>
                <w:numId w:val="5"/>
              </w:numPr>
              <w:spacing w:beforeLines="50" w:afterLines="50"/>
              <w:ind w:firstLineChars="0"/>
              <w:rPr>
                <w:rFonts w:hAnsi="Times New Roman" w:cs="宋体"/>
                <w:sz w:val="24"/>
              </w:rPr>
            </w:pPr>
            <w:r>
              <w:rPr>
                <w:rFonts w:hint="eastAsia" w:hAnsi="Times New Roman" w:eastAsia="宋体" w:cs="宋体"/>
                <w:sz w:val="24"/>
              </w:rPr>
              <w:t>機構帳戶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10472" w:type="dxa"/>
            <w:gridSpan w:val="13"/>
            <w:shd w:val="clear" w:color="auto" w:fill="63B86C"/>
          </w:tcPr>
          <w:p>
            <w:pPr>
              <w:spacing w:beforeLines="50" w:afterLines="50"/>
              <w:jc w:val="center"/>
              <w:rPr>
                <w:rFonts w:ascii="仿宋_GB2312" w:hAnsi="Times New Roman" w:eastAsia="仿宋_GB2312" w:cs="宋体"/>
                <w:b/>
                <w:sz w:val="24"/>
                <w:szCs w:val="24"/>
              </w:rPr>
            </w:pPr>
            <w:r>
              <w:rPr>
                <w:rFonts w:hint="eastAsia" w:ascii="仿宋_GB2312" w:hAnsi="Times New Roman" w:eastAsia="宋体" w:cs="宋体"/>
                <w:b/>
                <w:sz w:val="24"/>
                <w:szCs w:val="24"/>
              </w:rPr>
              <w:t>個人帳戶報備資訊（個人帳戶填寫）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帳戶名稱</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合約帳戶</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兩融帳戶</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期貨帳戶</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身份證或開戶有效證件</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交易單元</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聯繫電話</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電子郵箱</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Borders>
              <w:bottom w:val="single" w:color="auto" w:sz="4" w:space="0"/>
            </w:tcBorders>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資金規模</w:t>
            </w:r>
          </w:p>
        </w:tc>
        <w:tc>
          <w:tcPr>
            <w:tcW w:w="2689" w:type="dxa"/>
            <w:gridSpan w:val="3"/>
            <w:tcBorders>
              <w:bottom w:val="single" w:color="auto" w:sz="4" w:space="0"/>
            </w:tcBorders>
          </w:tcPr>
          <w:p>
            <w:pPr>
              <w:spacing w:beforeLines="50" w:afterLines="50"/>
              <w:rPr>
                <w:rFonts w:ascii="仿宋_GB2312" w:hAnsi="Times New Roman" w:eastAsia="仿宋_GB2312" w:cs="宋体"/>
                <w:sz w:val="24"/>
                <w:szCs w:val="24"/>
              </w:rPr>
            </w:pPr>
          </w:p>
        </w:tc>
        <w:tc>
          <w:tcPr>
            <w:tcW w:w="2405" w:type="dxa"/>
            <w:gridSpan w:val="4"/>
            <w:tcBorders>
              <w:bottom w:val="single" w:color="auto" w:sz="4" w:space="0"/>
            </w:tcBorders>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資金來源</w:t>
            </w:r>
          </w:p>
          <w:p>
            <w:pPr>
              <w:spacing w:beforeLines="50" w:afterLines="50"/>
              <w:rPr>
                <w:rFonts w:ascii="仿宋_GB2312" w:hAnsi="Times New Roman" w:eastAsia="仿宋_GB2312" w:cs="宋体"/>
                <w:sz w:val="24"/>
                <w:szCs w:val="24"/>
              </w:rPr>
            </w:pPr>
          </w:p>
        </w:tc>
        <w:tc>
          <w:tcPr>
            <w:tcW w:w="2689" w:type="dxa"/>
            <w:gridSpan w:val="3"/>
            <w:tcBorders>
              <w:bottom w:val="single" w:color="auto" w:sz="4" w:space="0"/>
            </w:tcBorders>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 xml:space="preserve">□ </w:t>
            </w:r>
            <w:r>
              <w:rPr>
                <w:rFonts w:hint="eastAsia" w:ascii="仿宋_GB2312" w:hAnsi="Times New Roman" w:eastAsia="宋体" w:cs="宋体"/>
                <w:sz w:val="24"/>
                <w:szCs w:val="24"/>
              </w:rPr>
              <w:t>個人自有資金</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 xml:space="preserve">□ </w:t>
            </w:r>
            <w:r>
              <w:rPr>
                <w:rFonts w:hint="eastAsia" w:ascii="仿宋_GB2312" w:hAnsi="Times New Roman" w:eastAsia="宋体" w:cs="宋体"/>
                <w:sz w:val="24"/>
                <w:szCs w:val="24"/>
              </w:rPr>
              <w:t>其他（請填寫）</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10472" w:type="dxa"/>
            <w:gridSpan w:val="13"/>
            <w:shd w:val="clear" w:color="auto" w:fill="63B86C"/>
          </w:tcPr>
          <w:p>
            <w:pPr>
              <w:spacing w:beforeLines="50" w:afterLines="50"/>
              <w:jc w:val="center"/>
              <w:rPr>
                <w:rFonts w:ascii="仿宋_GB2312" w:hAnsi="Times New Roman" w:eastAsia="仿宋_GB2312" w:cs="宋体"/>
                <w:b/>
                <w:sz w:val="24"/>
                <w:szCs w:val="24"/>
              </w:rPr>
            </w:pPr>
            <w:r>
              <w:rPr>
                <w:rFonts w:hint="eastAsia" w:ascii="仿宋_GB2312" w:hAnsi="Times New Roman" w:eastAsia="宋体" w:cs="宋体"/>
                <w:b/>
                <w:sz w:val="24"/>
                <w:szCs w:val="24"/>
              </w:rPr>
              <w:t>機構帳戶報備資訊（機構帳戶填寫）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帳戶名稱</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合約帳戶</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兩融帳戶</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期貨帳戶</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機構組織代碼</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交易單元</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聯繫人電話</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聯繫人郵箱</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帳戶類型</w:t>
            </w:r>
          </w:p>
        </w:tc>
        <w:tc>
          <w:tcPr>
            <w:tcW w:w="7783" w:type="dxa"/>
            <w:gridSpan w:val="10"/>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一般機構                         </w:t>
            </w: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券商自營               </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券商集合理財                     </w:t>
            </w: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公募基金                         </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公募專戶                         </w:t>
            </w: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保險產品                         </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信託產品                         </w:t>
            </w: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私募基金                         </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cs="宋体"/>
                <w:sz w:val="24"/>
                <w:szCs w:val="24"/>
              </w:rPr>
              <w:t>其他（請填寫）</w:t>
            </w:r>
            <w:r>
              <w:rPr>
                <w:rFonts w:hint="eastAsia" w:ascii="仿宋_GB2312" w:hAnsi="Times New Roman" w:eastAsia="宋体" w:cs="宋体"/>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746" w:hRule="atLeast"/>
        </w:trPr>
        <w:tc>
          <w:tcPr>
            <w:tcW w:w="2689" w:type="dxa"/>
            <w:gridSpan w:val="3"/>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資產規模</w:t>
            </w:r>
          </w:p>
        </w:tc>
        <w:tc>
          <w:tcPr>
            <w:tcW w:w="3255" w:type="dxa"/>
            <w:gridSpan w:val="4"/>
          </w:tcPr>
          <w:p>
            <w:pPr>
              <w:widowControl/>
              <w:rPr>
                <w:rFonts w:ascii="仿宋_GB2312" w:hAnsi="Times New Roman" w:eastAsia="仿宋_GB2312" w:cs="宋体"/>
                <w:color w:val="000000"/>
                <w:sz w:val="24"/>
                <w:szCs w:val="28"/>
              </w:rPr>
            </w:pPr>
          </w:p>
        </w:tc>
        <w:tc>
          <w:tcPr>
            <w:tcW w:w="2264" w:type="dxa"/>
            <w:gridSpan w:val="5"/>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期權交易資金規模</w:t>
            </w:r>
          </w:p>
        </w:tc>
        <w:tc>
          <w:tcPr>
            <w:tcW w:w="2264" w:type="dxa"/>
          </w:tcPr>
          <w:p>
            <w:pPr>
              <w:pStyle w:val="96"/>
              <w:widowControl/>
              <w:ind w:left="360" w:firstLine="0" w:firstLineChars="0"/>
              <w:rPr>
                <w:rFonts w:hAnsi="Times New Roman" w:cs="宋体"/>
                <w:color w:val="000000"/>
                <w:sz w:val="24"/>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746" w:hRule="atLeast"/>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資金來源</w:t>
            </w:r>
          </w:p>
        </w:tc>
        <w:tc>
          <w:tcPr>
            <w:tcW w:w="7783" w:type="dxa"/>
            <w:gridSpan w:val="10"/>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sz w:val="24"/>
              </w:rPr>
              <w:t>自有資金（一般法人）；</w:t>
            </w:r>
            <w:r>
              <w:rPr>
                <w:rFonts w:hint="eastAsia" w:ascii="仿宋_GB2312" w:hAnsi="Times New Roman" w:eastAsia="宋体" w:cs="宋体"/>
                <w:sz w:val="24"/>
                <w:szCs w:val="28"/>
              </w:rPr>
              <w:t>□</w:t>
            </w:r>
            <w:r>
              <w:rPr>
                <w:rFonts w:hint="eastAsia" w:ascii="仿宋_GB2312" w:hAnsi="Times New Roman" w:eastAsia="宋体"/>
                <w:sz w:val="24"/>
              </w:rPr>
              <w:t>券商自營；</w:t>
            </w:r>
            <w:r>
              <w:rPr>
                <w:rFonts w:hint="eastAsia" w:ascii="仿宋_GB2312" w:hAnsi="Times New Roman" w:eastAsia="宋体" w:cs="宋体"/>
                <w:sz w:val="24"/>
                <w:szCs w:val="28"/>
              </w:rPr>
              <w:t>□公募基金；□私募基金；□證券公司定向計畫;□證券公司集合計畫; □</w:t>
            </w:r>
            <w:r>
              <w:rPr>
                <w:rFonts w:hint="eastAsia" w:ascii="仿宋_GB2312" w:hAnsi="Times New Roman" w:eastAsia="宋体"/>
                <w:sz w:val="24"/>
              </w:rPr>
              <w:t>基金公司特定客戶資管計畫;</w:t>
            </w:r>
            <w:r>
              <w:rPr>
                <w:rFonts w:hint="eastAsia" w:ascii="仿宋_GB2312" w:hAnsi="Times New Roman" w:eastAsia="宋体" w:cs="宋体"/>
                <w:sz w:val="24"/>
                <w:szCs w:val="28"/>
              </w:rPr>
              <w:t xml:space="preserve"> □</w:t>
            </w:r>
            <w:r>
              <w:rPr>
                <w:rFonts w:hint="eastAsia" w:ascii="仿宋_GB2312" w:hAnsi="Times New Roman" w:eastAsia="宋体"/>
                <w:sz w:val="24"/>
              </w:rPr>
              <w:t>商業銀行理財產品;</w:t>
            </w:r>
            <w:r>
              <w:rPr>
                <w:rFonts w:hint="eastAsia" w:ascii="仿宋_GB2312" w:hAnsi="Times New Roman" w:eastAsia="宋体" w:cs="宋体"/>
                <w:sz w:val="24"/>
                <w:szCs w:val="28"/>
              </w:rPr>
              <w:t>□</w:t>
            </w:r>
            <w:r>
              <w:rPr>
                <w:rFonts w:hint="eastAsia" w:ascii="仿宋_GB2312" w:hAnsi="Times New Roman" w:eastAsia="宋体"/>
                <w:sz w:val="24"/>
              </w:rPr>
              <w:t>保險公司資管計畫;</w:t>
            </w:r>
            <w:r>
              <w:rPr>
                <w:rFonts w:hint="eastAsia" w:ascii="仿宋_GB2312" w:hAnsi="Times New Roman" w:eastAsia="宋体" w:cs="宋体"/>
                <w:sz w:val="24"/>
                <w:szCs w:val="28"/>
              </w:rPr>
              <w:t>□</w:t>
            </w:r>
            <w:r>
              <w:rPr>
                <w:rFonts w:hint="eastAsia" w:ascii="仿宋_GB2312" w:hAnsi="Times New Roman" w:eastAsia="宋体"/>
                <w:sz w:val="24"/>
              </w:rPr>
              <w:t>保險產品;</w:t>
            </w:r>
            <w:r>
              <w:rPr>
                <w:rFonts w:hint="eastAsia" w:ascii="仿宋_GB2312" w:hAnsi="Times New Roman" w:eastAsia="宋体" w:cs="宋体"/>
                <w:sz w:val="24"/>
                <w:szCs w:val="28"/>
              </w:rPr>
              <w:t>□</w:t>
            </w:r>
            <w:r>
              <w:rPr>
                <w:rFonts w:hint="eastAsia" w:ascii="仿宋_GB2312" w:hAnsi="Times New Roman" w:eastAsia="宋体"/>
                <w:sz w:val="24"/>
              </w:rPr>
              <w:t>信託產品;</w:t>
            </w:r>
            <w:r>
              <w:rPr>
                <w:rFonts w:hint="eastAsia" w:ascii="仿宋_GB2312" w:hAnsi="Times New Roman" w:eastAsia="宋体" w:cs="宋体"/>
                <w:sz w:val="24"/>
                <w:szCs w:val="28"/>
              </w:rPr>
              <w:t>□</w:t>
            </w:r>
            <w:r>
              <w:rPr>
                <w:rFonts w:hint="eastAsia" w:ascii="仿宋_GB2312" w:hAnsi="Times New Roman" w:eastAsia="宋体"/>
                <w:sz w:val="24"/>
              </w:rPr>
              <w:t>期貨公司資管計畫;</w:t>
            </w:r>
            <w:r>
              <w:rPr>
                <w:rFonts w:hint="eastAsia" w:ascii="仿宋_GB2312" w:hAnsi="Times New Roman" w:eastAsia="宋体" w:cs="宋体"/>
                <w:sz w:val="24"/>
                <w:szCs w:val="28"/>
              </w:rPr>
              <w:t>□</w:t>
            </w:r>
            <w:r>
              <w:rPr>
                <w:rFonts w:hint="eastAsia" w:ascii="仿宋_GB2312" w:hAnsi="Times New Roman" w:eastAsia="宋体"/>
                <w:sz w:val="24"/>
              </w:rPr>
              <w:t>QFII;</w:t>
            </w:r>
            <w:r>
              <w:rPr>
                <w:rFonts w:hint="eastAsia" w:ascii="仿宋_GB2312" w:hAnsi="Times New Roman" w:eastAsia="宋体" w:cs="宋体"/>
                <w:sz w:val="24"/>
                <w:szCs w:val="28"/>
              </w:rPr>
              <w:t>□</w:t>
            </w:r>
            <w:r>
              <w:rPr>
                <w:rFonts w:hint="eastAsia" w:ascii="仿宋_GB2312" w:hAnsi="Times New Roman" w:eastAsia="宋体"/>
                <w:sz w:val="24"/>
              </w:rPr>
              <w:t>RQFII;</w:t>
            </w:r>
            <w:r>
              <w:rPr>
                <w:rFonts w:hint="eastAsia" w:ascii="仿宋_GB2312" w:hAnsi="Times New Roman" w:eastAsia="宋体" w:cs="宋体"/>
                <w:sz w:val="24"/>
                <w:szCs w:val="28"/>
              </w:rPr>
              <w:t>□</w:t>
            </w:r>
            <w:r>
              <w:rPr>
                <w:rFonts w:hint="eastAsia" w:ascii="仿宋_GB2312" w:hAnsi="Times New Roman" w:eastAsia="宋体"/>
                <w:sz w:val="24"/>
              </w:rPr>
              <w:t>企業年金;</w:t>
            </w:r>
            <w:r>
              <w:rPr>
                <w:rFonts w:hint="eastAsia" w:ascii="仿宋_GB2312" w:hAnsi="Times New Roman" w:eastAsia="宋体" w:cs="宋体"/>
                <w:sz w:val="24"/>
                <w:szCs w:val="28"/>
              </w:rPr>
              <w:t>□</w:t>
            </w:r>
            <w:r>
              <w:rPr>
                <w:rFonts w:hint="eastAsia" w:ascii="仿宋_GB2312" w:hAnsi="Times New Roman" w:eastAsia="宋体"/>
                <w:sz w:val="24"/>
              </w:rPr>
              <w:t>其他</w:t>
            </w:r>
            <w:r>
              <w:rPr>
                <w:rFonts w:hint="eastAsia" w:ascii="仿宋_GB2312" w:hAnsi="Times New Roman" w:eastAsia="宋体" w:cs="宋体"/>
                <w:sz w:val="24"/>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828" w:hRule="atLeast"/>
        </w:trPr>
        <w:tc>
          <w:tcPr>
            <w:tcW w:w="2689" w:type="dxa"/>
            <w:gridSpan w:val="3"/>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資金是否使用杠杆</w:t>
            </w:r>
          </w:p>
        </w:tc>
        <w:tc>
          <w:tcPr>
            <w:tcW w:w="3255" w:type="dxa"/>
            <w:gridSpan w:val="4"/>
          </w:tcPr>
          <w:p>
            <w:pPr>
              <w:widowControl/>
              <w:rPr>
                <w:rFonts w:ascii="仿宋_GB2312" w:hAnsi="Times New Roman" w:eastAsia="仿宋_GB2312" w:cs="宋体"/>
                <w:color w:val="000000"/>
                <w:sz w:val="24"/>
                <w:szCs w:val="28"/>
              </w:rPr>
            </w:pPr>
          </w:p>
        </w:tc>
        <w:tc>
          <w:tcPr>
            <w:tcW w:w="2264" w:type="dxa"/>
            <w:gridSpan w:val="5"/>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資金杠杆倍數</w:t>
            </w:r>
          </w:p>
        </w:tc>
        <w:tc>
          <w:tcPr>
            <w:tcW w:w="2264" w:type="dxa"/>
          </w:tcPr>
          <w:p>
            <w:pPr>
              <w:widowControl/>
              <w:rPr>
                <w:rFonts w:ascii="仿宋_GB2312" w:hAnsi="Times New Roman" w:eastAsia="仿宋_GB2312" w:cs="宋体"/>
                <w:color w:val="00000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Borders>
              <w:bottom w:val="single" w:color="auto" w:sz="4" w:space="0"/>
            </w:tcBorders>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企業性質</w:t>
            </w:r>
          </w:p>
        </w:tc>
        <w:tc>
          <w:tcPr>
            <w:tcW w:w="3255" w:type="dxa"/>
            <w:gridSpan w:val="4"/>
            <w:tcBorders>
              <w:bottom w:val="single" w:color="auto" w:sz="4" w:space="0"/>
            </w:tcBorders>
          </w:tcPr>
          <w:p>
            <w:pPr>
              <w:pStyle w:val="96"/>
              <w:widowControl/>
              <w:numPr>
                <w:ilvl w:val="0"/>
                <w:numId w:val="6"/>
              </w:numPr>
              <w:ind w:firstLineChars="0"/>
              <w:rPr>
                <w:rFonts w:ascii="仿宋_GB2312" w:hAnsi="Times New Roman" w:eastAsia="仿宋_GB2312"/>
                <w:sz w:val="24"/>
              </w:rPr>
            </w:pPr>
            <w:r>
              <w:rPr>
                <w:rFonts w:hint="eastAsia" w:ascii="仿宋_GB2312" w:hAnsi="Times New Roman" w:eastAsia="宋体"/>
                <w:sz w:val="24"/>
              </w:rPr>
              <w:t>國有企業</w:t>
            </w:r>
          </w:p>
          <w:p>
            <w:pPr>
              <w:pStyle w:val="96"/>
              <w:widowControl/>
              <w:numPr>
                <w:ilvl w:val="0"/>
                <w:numId w:val="6"/>
              </w:numPr>
              <w:ind w:firstLineChars="0"/>
              <w:rPr>
                <w:rFonts w:ascii="仿宋_GB2312" w:hAnsi="Times New Roman" w:eastAsia="仿宋_GB2312"/>
                <w:sz w:val="24"/>
              </w:rPr>
            </w:pPr>
            <w:r>
              <w:rPr>
                <w:rFonts w:hint="eastAsia" w:ascii="仿宋_GB2312" w:hAnsi="Times New Roman" w:eastAsia="宋体"/>
                <w:sz w:val="24"/>
              </w:rPr>
              <w:t>國有控股</w:t>
            </w:r>
          </w:p>
          <w:p>
            <w:pPr>
              <w:pStyle w:val="96"/>
              <w:widowControl/>
              <w:numPr>
                <w:ilvl w:val="0"/>
                <w:numId w:val="6"/>
              </w:numPr>
              <w:ind w:firstLineChars="0"/>
              <w:rPr>
                <w:rFonts w:ascii="仿宋_GB2312" w:hAnsi="Times New Roman" w:eastAsia="仿宋_GB2312"/>
                <w:sz w:val="24"/>
              </w:rPr>
            </w:pPr>
            <w:r>
              <w:rPr>
                <w:rFonts w:hint="eastAsia" w:ascii="仿宋_GB2312" w:hAnsi="Times New Roman" w:eastAsia="宋体"/>
                <w:sz w:val="24"/>
              </w:rPr>
              <w:t>合資企業</w:t>
            </w:r>
          </w:p>
          <w:p>
            <w:pPr>
              <w:pStyle w:val="96"/>
              <w:widowControl/>
              <w:numPr>
                <w:ilvl w:val="0"/>
                <w:numId w:val="6"/>
              </w:numPr>
              <w:ind w:firstLineChars="0"/>
              <w:rPr>
                <w:rFonts w:ascii="仿宋_GB2312" w:hAnsi="Times New Roman" w:eastAsia="仿宋_GB2312"/>
                <w:sz w:val="24"/>
              </w:rPr>
            </w:pPr>
            <w:r>
              <w:rPr>
                <w:rFonts w:hint="eastAsia" w:ascii="仿宋_GB2312" w:hAnsi="Times New Roman" w:eastAsia="宋体"/>
                <w:sz w:val="24"/>
              </w:rPr>
              <w:t>私營企業</w:t>
            </w:r>
          </w:p>
          <w:p>
            <w:pPr>
              <w:pStyle w:val="96"/>
              <w:widowControl/>
              <w:numPr>
                <w:ilvl w:val="0"/>
                <w:numId w:val="6"/>
              </w:numPr>
              <w:ind w:firstLineChars="0"/>
              <w:rPr>
                <w:rFonts w:hAnsi="Times New Roman" w:cs="宋体"/>
                <w:color w:val="000000"/>
                <w:sz w:val="24"/>
                <w:szCs w:val="28"/>
              </w:rPr>
            </w:pPr>
            <w:r>
              <w:rPr>
                <w:rFonts w:hint="eastAsia" w:ascii="仿宋_GB2312" w:hAnsi="Times New Roman" w:eastAsia="宋体"/>
                <w:sz w:val="24"/>
              </w:rPr>
              <w:t xml:space="preserve">其他 (請填寫)        </w:t>
            </w:r>
          </w:p>
        </w:tc>
        <w:tc>
          <w:tcPr>
            <w:tcW w:w="2264" w:type="dxa"/>
            <w:gridSpan w:val="5"/>
            <w:tcBorders>
              <w:bottom w:val="single" w:color="auto" w:sz="4" w:space="0"/>
            </w:tcBorders>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實際控制人</w:t>
            </w:r>
          </w:p>
        </w:tc>
        <w:tc>
          <w:tcPr>
            <w:tcW w:w="2264" w:type="dxa"/>
            <w:tcBorders>
              <w:bottom w:val="single" w:color="auto" w:sz="4" w:space="0"/>
            </w:tcBorders>
          </w:tcPr>
          <w:p>
            <w:pPr>
              <w:pStyle w:val="96"/>
              <w:widowControl/>
              <w:numPr>
                <w:ilvl w:val="0"/>
                <w:numId w:val="6"/>
              </w:numPr>
              <w:ind w:firstLineChars="0"/>
              <w:rPr>
                <w:rFonts w:ascii="仿宋_GB2312" w:hAnsi="Times New Roman" w:eastAsia="仿宋_GB2312"/>
                <w:sz w:val="24"/>
              </w:rPr>
            </w:pPr>
            <w:r>
              <w:rPr>
                <w:rFonts w:hint="eastAsia" w:ascii="仿宋_GB2312" w:hAnsi="Times New Roman" w:eastAsia="宋体"/>
                <w:sz w:val="24"/>
              </w:rPr>
              <w:t>國有</w:t>
            </w:r>
          </w:p>
          <w:p>
            <w:pPr>
              <w:pStyle w:val="96"/>
              <w:widowControl/>
              <w:numPr>
                <w:ilvl w:val="0"/>
                <w:numId w:val="6"/>
              </w:numPr>
              <w:ind w:firstLineChars="0"/>
              <w:rPr>
                <w:rFonts w:ascii="仿宋_GB2312" w:hAnsi="Times New Roman" w:eastAsia="仿宋_GB2312"/>
                <w:sz w:val="24"/>
              </w:rPr>
            </w:pPr>
            <w:r>
              <w:rPr>
                <w:rFonts w:hint="eastAsia" w:ascii="仿宋_GB2312" w:hAnsi="Times New Roman" w:eastAsia="宋体"/>
                <w:sz w:val="24"/>
              </w:rPr>
              <w:t>私營</w:t>
            </w:r>
          </w:p>
          <w:p>
            <w:pPr>
              <w:pStyle w:val="96"/>
              <w:widowControl/>
              <w:numPr>
                <w:ilvl w:val="0"/>
                <w:numId w:val="6"/>
              </w:numPr>
              <w:ind w:firstLineChars="0"/>
              <w:rPr>
                <w:rFonts w:ascii="仿宋_GB2312" w:hAnsi="Times New Roman" w:eastAsia="仿宋_GB2312"/>
                <w:sz w:val="24"/>
              </w:rPr>
            </w:pPr>
            <w:r>
              <w:rPr>
                <w:rFonts w:hint="eastAsia" w:ascii="仿宋_GB2312" w:hAnsi="Times New Roman" w:eastAsia="宋体"/>
                <w:sz w:val="24"/>
              </w:rPr>
              <w:t>外資</w:t>
            </w:r>
          </w:p>
          <w:p>
            <w:pPr>
              <w:pStyle w:val="96"/>
              <w:widowControl/>
              <w:numPr>
                <w:ilvl w:val="0"/>
                <w:numId w:val="6"/>
              </w:numPr>
              <w:ind w:firstLineChars="0"/>
              <w:rPr>
                <w:rFonts w:ascii="仿宋_GB2312" w:hAnsi="Times New Roman" w:eastAsia="仿宋_GB2312"/>
                <w:sz w:val="24"/>
              </w:rPr>
            </w:pPr>
            <w:r>
              <w:rPr>
                <w:rFonts w:hint="eastAsia" w:ascii="仿宋_GB2312" w:hAnsi="Times New Roman" w:eastAsia="宋体"/>
                <w:sz w:val="24"/>
              </w:rPr>
              <w:t>其他(請填寫)</w:t>
            </w:r>
          </w:p>
          <w:p>
            <w:pPr>
              <w:pStyle w:val="96"/>
              <w:widowControl/>
              <w:ind w:left="360" w:firstLine="0" w:firstLineChars="0"/>
              <w:rPr>
                <w:rFonts w:hAnsi="Times New Roman" w:cs="宋体"/>
                <w:color w:val="000000"/>
                <w:sz w:val="24"/>
                <w:szCs w:val="28"/>
                <w:u w:val="single"/>
              </w:rPr>
            </w:pPr>
            <w:r>
              <w:rPr>
                <w:rFonts w:hint="eastAsia" w:ascii="仿宋_GB2312" w:hAnsi="Times New Roman" w:eastAsia="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692" w:hRule="atLeast"/>
        </w:trPr>
        <w:tc>
          <w:tcPr>
            <w:tcW w:w="10472" w:type="dxa"/>
            <w:gridSpan w:val="13"/>
            <w:shd w:val="clear" w:color="auto" w:fill="63B86C"/>
            <w:vAlign w:val="center"/>
          </w:tcPr>
          <w:p>
            <w:pPr>
              <w:widowControl/>
              <w:jc w:val="center"/>
              <w:rPr>
                <w:rFonts w:ascii="仿宋_GB2312" w:hAnsi="Times New Roman" w:eastAsia="仿宋_GB2312" w:cs="宋体"/>
                <w:b/>
                <w:color w:val="000000"/>
                <w:sz w:val="24"/>
                <w:szCs w:val="28"/>
              </w:rPr>
            </w:pPr>
            <w:r>
              <w:rPr>
                <w:rFonts w:hint="eastAsia" w:ascii="仿宋_GB2312" w:hAnsi="Times New Roman" w:eastAsia="宋体" w:cs="宋体"/>
                <w:b/>
                <w:sz w:val="24"/>
                <w:szCs w:val="24"/>
              </w:rPr>
              <w:t>機構帳戶主要交易員資訊（機構帳戶填寫）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13" w:hRule="atLeast"/>
        </w:trPr>
        <w:tc>
          <w:tcPr>
            <w:tcW w:w="708"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序號</w:t>
            </w:r>
          </w:p>
        </w:tc>
        <w:tc>
          <w:tcPr>
            <w:tcW w:w="1133"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名字</w:t>
            </w:r>
          </w:p>
        </w:tc>
        <w:tc>
          <w:tcPr>
            <w:tcW w:w="1414" w:type="dxa"/>
            <w:gridSpan w:val="2"/>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工作城市</w:t>
            </w:r>
          </w:p>
        </w:tc>
        <w:tc>
          <w:tcPr>
            <w:tcW w:w="1274"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工作年限</w:t>
            </w:r>
          </w:p>
        </w:tc>
        <w:tc>
          <w:tcPr>
            <w:tcW w:w="1415" w:type="dxa"/>
            <w:gridSpan w:val="2"/>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聯繫方式</w:t>
            </w:r>
          </w:p>
        </w:tc>
        <w:tc>
          <w:tcPr>
            <w:tcW w:w="1839" w:type="dxa"/>
            <w:gridSpan w:val="3"/>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是否有境外交易經歷（是/否）</w:t>
            </w:r>
          </w:p>
        </w:tc>
        <w:tc>
          <w:tcPr>
            <w:tcW w:w="2689" w:type="dxa"/>
            <w:gridSpan w:val="3"/>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期權交易經歷簡介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48" w:hRule="atLeast"/>
        </w:trPr>
        <w:tc>
          <w:tcPr>
            <w:tcW w:w="708"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1</w:t>
            </w:r>
          </w:p>
        </w:tc>
        <w:tc>
          <w:tcPr>
            <w:tcW w:w="1133" w:type="dxa"/>
            <w:vAlign w:val="center"/>
          </w:tcPr>
          <w:p>
            <w:pPr>
              <w:widowControl/>
              <w:rPr>
                <w:rFonts w:ascii="仿宋_GB2312" w:hAnsi="Times New Roman" w:eastAsia="仿宋_GB2312" w:cs="宋体"/>
                <w:color w:val="000000"/>
                <w:sz w:val="24"/>
                <w:szCs w:val="28"/>
              </w:rPr>
            </w:pPr>
          </w:p>
        </w:tc>
        <w:tc>
          <w:tcPr>
            <w:tcW w:w="1414" w:type="dxa"/>
            <w:gridSpan w:val="2"/>
            <w:vAlign w:val="center"/>
          </w:tcPr>
          <w:p>
            <w:pPr>
              <w:widowControl/>
              <w:rPr>
                <w:rFonts w:ascii="仿宋_GB2312" w:hAnsi="Times New Roman" w:eastAsia="仿宋_GB2312" w:cs="宋体"/>
                <w:color w:val="000000"/>
                <w:sz w:val="24"/>
                <w:szCs w:val="28"/>
              </w:rPr>
            </w:pPr>
          </w:p>
        </w:tc>
        <w:tc>
          <w:tcPr>
            <w:tcW w:w="1274" w:type="dxa"/>
            <w:vAlign w:val="center"/>
          </w:tcPr>
          <w:p>
            <w:pPr>
              <w:widowControl/>
              <w:rPr>
                <w:rFonts w:ascii="仿宋_GB2312" w:hAnsi="Times New Roman" w:eastAsia="仿宋_GB2312" w:cs="宋体"/>
                <w:color w:val="000000"/>
                <w:sz w:val="24"/>
                <w:szCs w:val="28"/>
              </w:rPr>
            </w:pPr>
          </w:p>
        </w:tc>
        <w:tc>
          <w:tcPr>
            <w:tcW w:w="1415" w:type="dxa"/>
            <w:gridSpan w:val="2"/>
            <w:vAlign w:val="center"/>
          </w:tcPr>
          <w:p>
            <w:pPr>
              <w:widowControl/>
              <w:rPr>
                <w:rFonts w:ascii="仿宋_GB2312" w:hAnsi="Times New Roman" w:eastAsia="仿宋_GB2312" w:cs="宋体"/>
                <w:color w:val="000000"/>
                <w:sz w:val="24"/>
                <w:szCs w:val="28"/>
              </w:rPr>
            </w:pPr>
          </w:p>
        </w:tc>
        <w:tc>
          <w:tcPr>
            <w:tcW w:w="1839" w:type="dxa"/>
            <w:gridSpan w:val="3"/>
            <w:vAlign w:val="center"/>
          </w:tcPr>
          <w:p>
            <w:pPr>
              <w:widowControl/>
              <w:rPr>
                <w:rFonts w:ascii="仿宋_GB2312" w:hAnsi="Times New Roman" w:eastAsia="仿宋_GB2312" w:cs="宋体"/>
                <w:color w:val="000000"/>
                <w:sz w:val="24"/>
                <w:szCs w:val="28"/>
              </w:rPr>
            </w:pPr>
          </w:p>
        </w:tc>
        <w:tc>
          <w:tcPr>
            <w:tcW w:w="2689" w:type="dxa"/>
            <w:gridSpan w:val="3"/>
            <w:vAlign w:val="center"/>
          </w:tcPr>
          <w:p>
            <w:pPr>
              <w:widowControl/>
              <w:rPr>
                <w:rFonts w:ascii="仿宋_GB2312" w:hAnsi="Times New Roman" w:eastAsia="仿宋_GB2312" w:cs="宋体"/>
                <w:color w:val="00000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70" w:hRule="atLeast"/>
        </w:trPr>
        <w:tc>
          <w:tcPr>
            <w:tcW w:w="708"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2</w:t>
            </w:r>
          </w:p>
        </w:tc>
        <w:tc>
          <w:tcPr>
            <w:tcW w:w="1133" w:type="dxa"/>
            <w:vAlign w:val="center"/>
          </w:tcPr>
          <w:p>
            <w:pPr>
              <w:widowControl/>
              <w:rPr>
                <w:rFonts w:ascii="仿宋_GB2312" w:hAnsi="Times New Roman" w:eastAsia="仿宋_GB2312" w:cs="宋体"/>
                <w:color w:val="000000"/>
                <w:sz w:val="24"/>
                <w:szCs w:val="28"/>
              </w:rPr>
            </w:pPr>
          </w:p>
        </w:tc>
        <w:tc>
          <w:tcPr>
            <w:tcW w:w="1414" w:type="dxa"/>
            <w:gridSpan w:val="2"/>
            <w:vAlign w:val="center"/>
          </w:tcPr>
          <w:p>
            <w:pPr>
              <w:widowControl/>
              <w:rPr>
                <w:rFonts w:ascii="仿宋_GB2312" w:hAnsi="Times New Roman" w:eastAsia="仿宋_GB2312" w:cs="宋体"/>
                <w:color w:val="000000"/>
                <w:sz w:val="24"/>
                <w:szCs w:val="28"/>
              </w:rPr>
            </w:pPr>
          </w:p>
        </w:tc>
        <w:tc>
          <w:tcPr>
            <w:tcW w:w="1274" w:type="dxa"/>
            <w:vAlign w:val="center"/>
          </w:tcPr>
          <w:p>
            <w:pPr>
              <w:widowControl/>
              <w:rPr>
                <w:rFonts w:ascii="仿宋_GB2312" w:hAnsi="Times New Roman" w:eastAsia="仿宋_GB2312" w:cs="宋体"/>
                <w:color w:val="000000"/>
                <w:sz w:val="24"/>
                <w:szCs w:val="28"/>
              </w:rPr>
            </w:pPr>
          </w:p>
        </w:tc>
        <w:tc>
          <w:tcPr>
            <w:tcW w:w="1415" w:type="dxa"/>
            <w:gridSpan w:val="2"/>
            <w:vAlign w:val="center"/>
          </w:tcPr>
          <w:p>
            <w:pPr>
              <w:widowControl/>
              <w:rPr>
                <w:rFonts w:ascii="仿宋_GB2312" w:hAnsi="Times New Roman" w:eastAsia="仿宋_GB2312" w:cs="宋体"/>
                <w:color w:val="000000"/>
                <w:sz w:val="24"/>
                <w:szCs w:val="28"/>
              </w:rPr>
            </w:pPr>
          </w:p>
        </w:tc>
        <w:tc>
          <w:tcPr>
            <w:tcW w:w="1839" w:type="dxa"/>
            <w:gridSpan w:val="3"/>
            <w:vAlign w:val="center"/>
          </w:tcPr>
          <w:p>
            <w:pPr>
              <w:widowControl/>
              <w:rPr>
                <w:rFonts w:ascii="仿宋_GB2312" w:hAnsi="Times New Roman" w:eastAsia="仿宋_GB2312" w:cs="宋体"/>
                <w:color w:val="000000"/>
                <w:sz w:val="24"/>
                <w:szCs w:val="28"/>
              </w:rPr>
            </w:pPr>
          </w:p>
        </w:tc>
        <w:tc>
          <w:tcPr>
            <w:tcW w:w="2689" w:type="dxa"/>
            <w:gridSpan w:val="3"/>
            <w:vAlign w:val="center"/>
          </w:tcPr>
          <w:p>
            <w:pPr>
              <w:widowControl/>
              <w:rPr>
                <w:rFonts w:ascii="仿宋_GB2312" w:hAnsi="Times New Roman" w:eastAsia="仿宋_GB2312" w:cs="宋体"/>
                <w:color w:val="00000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64" w:hRule="atLeast"/>
        </w:trPr>
        <w:tc>
          <w:tcPr>
            <w:tcW w:w="708"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3</w:t>
            </w:r>
          </w:p>
        </w:tc>
        <w:tc>
          <w:tcPr>
            <w:tcW w:w="1133" w:type="dxa"/>
            <w:vAlign w:val="center"/>
          </w:tcPr>
          <w:p>
            <w:pPr>
              <w:widowControl/>
              <w:rPr>
                <w:rFonts w:ascii="仿宋_GB2312" w:hAnsi="Times New Roman" w:eastAsia="仿宋_GB2312" w:cs="宋体"/>
                <w:color w:val="000000"/>
                <w:sz w:val="24"/>
                <w:szCs w:val="28"/>
              </w:rPr>
            </w:pPr>
          </w:p>
        </w:tc>
        <w:tc>
          <w:tcPr>
            <w:tcW w:w="1414" w:type="dxa"/>
            <w:gridSpan w:val="2"/>
            <w:vAlign w:val="center"/>
          </w:tcPr>
          <w:p>
            <w:pPr>
              <w:widowControl/>
              <w:rPr>
                <w:rFonts w:ascii="仿宋_GB2312" w:hAnsi="Times New Roman" w:eastAsia="仿宋_GB2312" w:cs="宋体"/>
                <w:color w:val="000000"/>
                <w:sz w:val="24"/>
                <w:szCs w:val="28"/>
              </w:rPr>
            </w:pPr>
          </w:p>
        </w:tc>
        <w:tc>
          <w:tcPr>
            <w:tcW w:w="1274" w:type="dxa"/>
            <w:vAlign w:val="center"/>
          </w:tcPr>
          <w:p>
            <w:pPr>
              <w:widowControl/>
              <w:rPr>
                <w:rFonts w:ascii="仿宋_GB2312" w:hAnsi="Times New Roman" w:eastAsia="仿宋_GB2312" w:cs="宋体"/>
                <w:color w:val="000000"/>
                <w:sz w:val="24"/>
                <w:szCs w:val="28"/>
              </w:rPr>
            </w:pPr>
          </w:p>
        </w:tc>
        <w:tc>
          <w:tcPr>
            <w:tcW w:w="1415" w:type="dxa"/>
            <w:gridSpan w:val="2"/>
            <w:vAlign w:val="center"/>
          </w:tcPr>
          <w:p>
            <w:pPr>
              <w:widowControl/>
              <w:rPr>
                <w:rFonts w:ascii="仿宋_GB2312" w:hAnsi="Times New Roman" w:eastAsia="仿宋_GB2312" w:cs="宋体"/>
                <w:color w:val="000000"/>
                <w:sz w:val="24"/>
                <w:szCs w:val="28"/>
              </w:rPr>
            </w:pPr>
          </w:p>
        </w:tc>
        <w:tc>
          <w:tcPr>
            <w:tcW w:w="1839" w:type="dxa"/>
            <w:gridSpan w:val="3"/>
            <w:vAlign w:val="center"/>
          </w:tcPr>
          <w:p>
            <w:pPr>
              <w:widowControl/>
              <w:rPr>
                <w:rFonts w:ascii="仿宋_GB2312" w:hAnsi="Times New Roman" w:eastAsia="仿宋_GB2312" w:cs="宋体"/>
                <w:color w:val="000000"/>
                <w:sz w:val="24"/>
                <w:szCs w:val="28"/>
              </w:rPr>
            </w:pPr>
          </w:p>
        </w:tc>
        <w:tc>
          <w:tcPr>
            <w:tcW w:w="2689" w:type="dxa"/>
            <w:gridSpan w:val="3"/>
            <w:vAlign w:val="center"/>
          </w:tcPr>
          <w:p>
            <w:pPr>
              <w:widowControl/>
              <w:rPr>
                <w:rFonts w:ascii="仿宋_GB2312" w:hAnsi="Times New Roman" w:eastAsia="仿宋_GB2312" w:cs="宋体"/>
                <w:color w:val="00000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44" w:hRule="atLeast"/>
        </w:trPr>
        <w:tc>
          <w:tcPr>
            <w:tcW w:w="708" w:type="dxa"/>
            <w:tcBorders>
              <w:bottom w:val="single" w:color="auto" w:sz="4" w:space="0"/>
            </w:tcBorders>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4</w:t>
            </w:r>
          </w:p>
        </w:tc>
        <w:tc>
          <w:tcPr>
            <w:tcW w:w="1133" w:type="dxa"/>
            <w:tcBorders>
              <w:bottom w:val="single" w:color="auto" w:sz="4" w:space="0"/>
            </w:tcBorders>
            <w:vAlign w:val="center"/>
          </w:tcPr>
          <w:p>
            <w:pPr>
              <w:widowControl/>
              <w:rPr>
                <w:rFonts w:ascii="仿宋_GB2312" w:hAnsi="Times New Roman" w:eastAsia="仿宋_GB2312" w:cs="宋体"/>
                <w:color w:val="000000"/>
                <w:sz w:val="24"/>
                <w:szCs w:val="28"/>
              </w:rPr>
            </w:pPr>
          </w:p>
        </w:tc>
        <w:tc>
          <w:tcPr>
            <w:tcW w:w="1414" w:type="dxa"/>
            <w:gridSpan w:val="2"/>
            <w:tcBorders>
              <w:bottom w:val="single" w:color="auto" w:sz="4" w:space="0"/>
            </w:tcBorders>
            <w:vAlign w:val="center"/>
          </w:tcPr>
          <w:p>
            <w:pPr>
              <w:widowControl/>
              <w:rPr>
                <w:rFonts w:ascii="仿宋_GB2312" w:hAnsi="Times New Roman" w:eastAsia="仿宋_GB2312" w:cs="宋体"/>
                <w:color w:val="000000"/>
                <w:sz w:val="24"/>
                <w:szCs w:val="28"/>
              </w:rPr>
            </w:pPr>
          </w:p>
        </w:tc>
        <w:tc>
          <w:tcPr>
            <w:tcW w:w="1274" w:type="dxa"/>
            <w:tcBorders>
              <w:bottom w:val="single" w:color="auto" w:sz="4" w:space="0"/>
            </w:tcBorders>
            <w:vAlign w:val="center"/>
          </w:tcPr>
          <w:p>
            <w:pPr>
              <w:widowControl/>
              <w:rPr>
                <w:rFonts w:ascii="仿宋_GB2312" w:hAnsi="Times New Roman" w:eastAsia="仿宋_GB2312" w:cs="宋体"/>
                <w:color w:val="000000"/>
                <w:sz w:val="24"/>
                <w:szCs w:val="28"/>
              </w:rPr>
            </w:pPr>
          </w:p>
        </w:tc>
        <w:tc>
          <w:tcPr>
            <w:tcW w:w="1415" w:type="dxa"/>
            <w:gridSpan w:val="2"/>
            <w:tcBorders>
              <w:bottom w:val="single" w:color="auto" w:sz="4" w:space="0"/>
            </w:tcBorders>
            <w:vAlign w:val="center"/>
          </w:tcPr>
          <w:p>
            <w:pPr>
              <w:widowControl/>
              <w:rPr>
                <w:rFonts w:ascii="仿宋_GB2312" w:hAnsi="Times New Roman" w:eastAsia="仿宋_GB2312" w:cs="宋体"/>
                <w:color w:val="000000"/>
                <w:sz w:val="24"/>
                <w:szCs w:val="28"/>
              </w:rPr>
            </w:pPr>
          </w:p>
        </w:tc>
        <w:tc>
          <w:tcPr>
            <w:tcW w:w="1839" w:type="dxa"/>
            <w:gridSpan w:val="3"/>
            <w:tcBorders>
              <w:bottom w:val="single" w:color="auto" w:sz="4" w:space="0"/>
            </w:tcBorders>
            <w:vAlign w:val="center"/>
          </w:tcPr>
          <w:p>
            <w:pPr>
              <w:widowControl/>
              <w:rPr>
                <w:rFonts w:ascii="仿宋_GB2312" w:hAnsi="Times New Roman" w:eastAsia="仿宋_GB2312" w:cs="宋体"/>
                <w:color w:val="000000"/>
                <w:sz w:val="24"/>
                <w:szCs w:val="28"/>
              </w:rPr>
            </w:pPr>
          </w:p>
        </w:tc>
        <w:tc>
          <w:tcPr>
            <w:tcW w:w="2689" w:type="dxa"/>
            <w:gridSpan w:val="3"/>
            <w:tcBorders>
              <w:bottom w:val="single" w:color="auto" w:sz="4" w:space="0"/>
            </w:tcBorders>
            <w:vAlign w:val="center"/>
          </w:tcPr>
          <w:p>
            <w:pPr>
              <w:widowControl/>
              <w:rPr>
                <w:rFonts w:ascii="仿宋_GB2312" w:hAnsi="Times New Roman" w:eastAsia="仿宋_GB2312" w:cs="宋体"/>
                <w:color w:val="00000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10472" w:type="dxa"/>
            <w:gridSpan w:val="13"/>
            <w:shd w:val="clear" w:color="auto" w:fill="63B86C"/>
          </w:tcPr>
          <w:p>
            <w:pPr>
              <w:spacing w:beforeLines="50" w:afterLines="50"/>
              <w:jc w:val="center"/>
              <w:rPr>
                <w:rFonts w:ascii="仿宋_GB2312" w:hAnsi="Times New Roman" w:eastAsia="仿宋_GB2312" w:cs="宋体"/>
                <w:b/>
                <w:sz w:val="24"/>
                <w:szCs w:val="24"/>
              </w:rPr>
            </w:pPr>
            <w:r>
              <w:rPr>
                <w:rFonts w:hint="eastAsia" w:ascii="仿宋_GB2312" w:hAnsi="Times New Roman" w:eastAsia="宋体" w:cs="宋体"/>
                <w:b/>
                <w:sz w:val="24"/>
                <w:szCs w:val="24"/>
              </w:rPr>
              <w:t>程式交易相關資訊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交易系統伺服器</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所在城市</w:t>
            </w:r>
          </w:p>
        </w:tc>
        <w:tc>
          <w:tcPr>
            <w:tcW w:w="3255" w:type="dxa"/>
            <w:gridSpan w:val="4"/>
          </w:tcPr>
          <w:p>
            <w:pPr>
              <w:spacing w:beforeLines="50" w:afterLines="50"/>
              <w:rPr>
                <w:rFonts w:ascii="仿宋_GB2312" w:hAnsi="Times New Roman" w:eastAsia="仿宋_GB2312" w:cs="宋体"/>
                <w:sz w:val="24"/>
                <w:szCs w:val="24"/>
              </w:rPr>
            </w:pPr>
          </w:p>
        </w:tc>
        <w:tc>
          <w:tcPr>
            <w:tcW w:w="2264" w:type="dxa"/>
            <w:gridSpan w:val="5"/>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下單系統伺服器</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所在城市</w:t>
            </w:r>
          </w:p>
        </w:tc>
        <w:tc>
          <w:tcPr>
            <w:tcW w:w="2264" w:type="dxa"/>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802" w:hRule="atLeast"/>
        </w:trPr>
        <w:tc>
          <w:tcPr>
            <w:tcW w:w="2689" w:type="dxa"/>
            <w:gridSpan w:val="3"/>
            <w:vAlign w:val="center"/>
          </w:tcPr>
          <w:p>
            <w:pPr>
              <w:widowControl/>
              <w:jc w:val="left"/>
              <w:rPr>
                <w:rFonts w:ascii="仿宋_GB2312" w:hAnsi="Times New Roman" w:eastAsia="仿宋_GB2312" w:cs="宋体"/>
                <w:sz w:val="24"/>
                <w:szCs w:val="28"/>
              </w:rPr>
            </w:pPr>
            <w:r>
              <w:rPr>
                <w:rFonts w:hint="eastAsia" w:ascii="仿宋_GB2312" w:hAnsi="Times New Roman" w:eastAsia="宋体" w:cs="宋体"/>
                <w:sz w:val="24"/>
                <w:szCs w:val="28"/>
              </w:rPr>
              <w:t>訂單申報峰值</w:t>
            </w:r>
          </w:p>
        </w:tc>
        <w:tc>
          <w:tcPr>
            <w:tcW w:w="7783" w:type="dxa"/>
            <w:gridSpan w:val="10"/>
            <w:vAlign w:val="center"/>
          </w:tcPr>
          <w:p>
            <w:pPr>
              <w:widowControl/>
              <w:ind w:firstLine="360" w:firstLineChars="150"/>
              <w:jc w:val="left"/>
              <w:rPr>
                <w:rFonts w:ascii="仿宋_GB2312" w:hAnsi="Times New Roman" w:eastAsia="仿宋_GB2312" w:cs="宋体"/>
                <w:sz w:val="24"/>
                <w:szCs w:val="28"/>
              </w:rPr>
            </w:pPr>
            <w:r>
              <w:rPr>
                <w:rFonts w:hint="eastAsia" w:ascii="仿宋_GB2312" w:hAnsi="Times New Roman" w:eastAsia="宋体" w:cs="宋体"/>
                <w:sz w:val="24"/>
                <w:szCs w:val="28"/>
                <w:u w:val="single"/>
              </w:rPr>
              <w:t xml:space="preserve">    </w:t>
            </w:r>
            <w:r>
              <w:rPr>
                <w:rFonts w:hint="eastAsia" w:ascii="仿宋_GB2312" w:hAnsi="Times New Roman" w:eastAsia="宋体" w:cs="宋体"/>
                <w:sz w:val="24"/>
                <w:szCs w:val="28"/>
              </w:rPr>
              <w:t>筆/每秒</w:t>
            </w:r>
          </w:p>
          <w:p>
            <w:pPr>
              <w:widowControl/>
              <w:ind w:firstLine="360" w:firstLineChars="150"/>
              <w:jc w:val="left"/>
              <w:rPr>
                <w:rFonts w:ascii="仿宋_GB2312" w:hAnsi="Times New Roman" w:eastAsia="仿宋_GB2312" w:cs="宋体"/>
                <w:sz w:val="24"/>
                <w:szCs w:val="28"/>
              </w:rPr>
            </w:pPr>
            <w:r>
              <w:rPr>
                <w:rFonts w:hint="eastAsia" w:ascii="仿宋_GB2312" w:hAnsi="Times New Roman" w:eastAsia="宋体" w:cs="宋体"/>
                <w:sz w:val="24"/>
                <w:szCs w:val="28"/>
                <w:u w:val="single"/>
              </w:rPr>
              <w:t xml:space="preserve">    </w:t>
            </w:r>
            <w:r>
              <w:rPr>
                <w:rFonts w:hint="eastAsia" w:ascii="仿宋_GB2312" w:hAnsi="Times New Roman" w:eastAsia="宋体" w:cs="宋体"/>
                <w:sz w:val="24"/>
                <w:szCs w:val="28"/>
              </w:rPr>
              <w:t>筆/每天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交易模式</w:t>
            </w:r>
          </w:p>
        </w:tc>
        <w:tc>
          <w:tcPr>
            <w:tcW w:w="7783" w:type="dxa"/>
            <w:gridSpan w:val="10"/>
          </w:tcPr>
          <w:p>
            <w:pPr>
              <w:widowControl/>
              <w:jc w:val="left"/>
              <w:rPr>
                <w:rFonts w:ascii="仿宋_GB2312" w:hAnsi="Times New Roman" w:eastAsia="仿宋_GB2312" w:cs="宋体"/>
                <w:sz w:val="24"/>
                <w:szCs w:val="28"/>
              </w:rPr>
            </w:pPr>
            <w:r>
              <w:rPr>
                <w:rFonts w:hint="eastAsia" w:ascii="仿宋_GB2312" w:hAnsi="Times New Roman" w:eastAsia="宋体" w:cs="宋体"/>
                <w:sz w:val="24"/>
                <w:szCs w:val="28"/>
              </w:rPr>
              <w:t>日內高頻交易:□ 人工觸發  □ 軟體自動觸發</w:t>
            </w:r>
          </w:p>
          <w:p>
            <w:pPr>
              <w:widowControl/>
              <w:jc w:val="left"/>
              <w:rPr>
                <w:rFonts w:ascii="仿宋_GB2312" w:hAnsi="Times New Roman" w:eastAsia="仿宋_GB2312" w:cs="宋体"/>
                <w:sz w:val="24"/>
                <w:szCs w:val="28"/>
              </w:rPr>
            </w:pPr>
          </w:p>
          <w:p>
            <w:pPr>
              <w:widowControl/>
              <w:jc w:val="left"/>
              <w:rPr>
                <w:rFonts w:ascii="仿宋_GB2312" w:hAnsi="Times New Roman" w:eastAsia="仿宋_GB2312" w:cs="宋体"/>
                <w:sz w:val="24"/>
                <w:szCs w:val="28"/>
              </w:rPr>
            </w:pPr>
            <w:r>
              <w:rPr>
                <w:rFonts w:hint="eastAsia" w:ascii="仿宋_GB2312" w:hAnsi="Times New Roman" w:eastAsia="宋体" w:cs="宋体"/>
                <w:sz w:val="24"/>
                <w:szCs w:val="28"/>
              </w:rPr>
              <w:t>日內非高頻交易:□ 人工觸發  □ 軟體自動觸發</w:t>
            </w:r>
          </w:p>
          <w:p>
            <w:pPr>
              <w:widowControl/>
              <w:jc w:val="left"/>
              <w:rPr>
                <w:rFonts w:ascii="仿宋_GB2312" w:hAnsi="Times New Roman" w:eastAsia="仿宋_GB2312" w:cs="宋体"/>
                <w:sz w:val="24"/>
                <w:szCs w:val="28"/>
              </w:rPr>
            </w:pPr>
          </w:p>
          <w:p>
            <w:pPr>
              <w:widowControl/>
              <w:jc w:val="left"/>
              <w:rPr>
                <w:rFonts w:ascii="仿宋_GB2312" w:hAnsi="Times New Roman" w:eastAsia="仿宋_GB2312" w:cs="宋体"/>
                <w:sz w:val="24"/>
                <w:szCs w:val="28"/>
              </w:rPr>
            </w:pPr>
            <w:r>
              <w:rPr>
                <w:rFonts w:hint="eastAsia" w:ascii="仿宋_GB2312" w:hAnsi="Times New Roman" w:eastAsia="宋体" w:cs="宋体"/>
                <w:sz w:val="24"/>
                <w:szCs w:val="28"/>
              </w:rPr>
              <w:t>□ 其他(請填寫)：</w:t>
            </w:r>
            <w:r>
              <w:rPr>
                <w:rFonts w:hint="eastAsia" w:ascii="仿宋_GB2312" w:hAnsi="Times New Roman" w:eastAsia="宋体" w:cs="宋体"/>
                <w:sz w:val="24"/>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8"/>
              </w:rPr>
            </w:pPr>
            <w:r>
              <w:rPr>
                <w:rFonts w:hint="eastAsia" w:ascii="仿宋_GB2312" w:hAnsi="Times New Roman" w:eastAsia="宋体" w:cs="宋体"/>
                <w:sz w:val="24"/>
                <w:szCs w:val="28"/>
              </w:rPr>
              <w:t>交易品種</w:t>
            </w:r>
          </w:p>
        </w:tc>
        <w:tc>
          <w:tcPr>
            <w:tcW w:w="7783" w:type="dxa"/>
            <w:gridSpan w:val="10"/>
          </w:tcPr>
          <w:p>
            <w:pPr>
              <w:widowControl/>
              <w:jc w:val="left"/>
              <w:rPr>
                <w:rFonts w:ascii="仿宋_GB2312" w:hAnsi="Times New Roman" w:eastAsia="仿宋_GB2312" w:cs="宋体"/>
                <w:sz w:val="24"/>
                <w:szCs w:val="28"/>
              </w:rPr>
            </w:pPr>
            <w:r>
              <w:rPr>
                <w:rFonts w:hint="eastAsia" w:ascii="仿宋_GB2312" w:hAnsi="Times New Roman" w:eastAsia="宋体" w:cs="宋体"/>
                <w:sz w:val="24"/>
                <w:szCs w:val="28"/>
              </w:rPr>
              <w:t xml:space="preserve">□ 期權市場 □ 現貨市場 □ 期貨市場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2238" w:hRule="atLeast"/>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交易策略類型及簡要說明</w:t>
            </w:r>
          </w:p>
        </w:tc>
        <w:tc>
          <w:tcPr>
            <w:tcW w:w="7783" w:type="dxa"/>
            <w:gridSpan w:val="10"/>
          </w:tcPr>
          <w:p>
            <w:pPr>
              <w:widowControl/>
              <w:jc w:val="left"/>
              <w:rPr>
                <w:rFonts w:ascii="仿宋_GB2312" w:hAnsi="Times New Roman" w:eastAsia="仿宋_GB2312" w:cs="宋体"/>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492" w:type="dxa"/>
            <w:gridSpan w:val="14"/>
            <w:tcBorders>
              <w:top w:val="single" w:color="auto" w:sz="4" w:space="0"/>
              <w:left w:val="single" w:color="auto" w:sz="4" w:space="0"/>
              <w:bottom w:val="single" w:color="auto" w:sz="4" w:space="0"/>
              <w:right w:val="single" w:color="auto" w:sz="4" w:space="0"/>
            </w:tcBorders>
            <w:shd w:val="clear" w:color="auto" w:fill="63B86C"/>
            <w:vAlign w:val="center"/>
          </w:tcPr>
          <w:p>
            <w:pPr>
              <w:widowControl/>
              <w:jc w:val="center"/>
              <w:rPr>
                <w:rFonts w:ascii="仿宋_GB2312" w:hAnsi="Times New Roman" w:eastAsia="仿宋_GB2312" w:cs="宋体"/>
                <w:b/>
                <w:kern w:val="0"/>
                <w:sz w:val="24"/>
                <w:szCs w:val="28"/>
              </w:rPr>
            </w:pPr>
            <w:r>
              <w:rPr>
                <w:rFonts w:hint="eastAsia" w:ascii="仿宋_GB2312" w:hAnsi="Times New Roman" w:eastAsia="宋体" w:cs="宋体"/>
                <w:b/>
                <w:kern w:val="0"/>
                <w:sz w:val="24"/>
                <w:szCs w:val="28"/>
              </w:rPr>
              <w:t>程式交易軟體資訊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09"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軟體名稱</w:t>
            </w:r>
          </w:p>
        </w:tc>
        <w:tc>
          <w:tcPr>
            <w:tcW w:w="1840" w:type="dxa"/>
            <w:gridSpan w:val="2"/>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所屬廠商/軟體提供者</w:t>
            </w:r>
          </w:p>
        </w:tc>
        <w:tc>
          <w:tcPr>
            <w:tcW w:w="2122" w:type="dxa"/>
            <w:gridSpan w:val="4"/>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使用者是否可自行修改程式代碼（是/否）</w:t>
            </w:r>
          </w:p>
        </w:tc>
        <w:tc>
          <w:tcPr>
            <w:tcW w:w="1415" w:type="dxa"/>
            <w:gridSpan w:val="2"/>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行情來源</w:t>
            </w:r>
          </w:p>
        </w:tc>
        <w:tc>
          <w:tcPr>
            <w:tcW w:w="2406" w:type="dxa"/>
            <w:gridSpan w:val="2"/>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基本功能描述</w:t>
            </w:r>
          </w:p>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（可附頁說明）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09"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1840"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2122" w:type="dxa"/>
            <w:gridSpan w:val="4"/>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1415"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2406"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09"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1840"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2122" w:type="dxa"/>
            <w:gridSpan w:val="4"/>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1415"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2406"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2709"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風控及其他情況說明</w:t>
            </w:r>
          </w:p>
        </w:tc>
        <w:tc>
          <w:tcPr>
            <w:tcW w:w="7783" w:type="dxa"/>
            <w:gridSpan w:val="10"/>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270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升級歷史說明</w:t>
            </w:r>
          </w:p>
        </w:tc>
        <w:tc>
          <w:tcPr>
            <w:tcW w:w="7783" w:type="dxa"/>
            <w:gridSpan w:val="10"/>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492" w:type="dxa"/>
            <w:gridSpan w:val="14"/>
            <w:tcBorders>
              <w:top w:val="single" w:color="auto" w:sz="4" w:space="0"/>
              <w:left w:val="single" w:color="auto" w:sz="4" w:space="0"/>
              <w:bottom w:val="single" w:color="auto" w:sz="4" w:space="0"/>
              <w:right w:val="single" w:color="auto" w:sz="4" w:space="0"/>
            </w:tcBorders>
            <w:shd w:val="clear" w:color="auto" w:fill="63B86C"/>
            <w:vAlign w:val="center"/>
          </w:tcPr>
          <w:p>
            <w:pPr>
              <w:widowControl/>
              <w:jc w:val="center"/>
              <w:rPr>
                <w:rFonts w:ascii="仿宋_GB2312" w:hAnsi="Times New Roman" w:eastAsia="仿宋_GB2312" w:cs="宋体"/>
                <w:b/>
                <w:kern w:val="0"/>
                <w:sz w:val="24"/>
                <w:szCs w:val="28"/>
              </w:rPr>
            </w:pPr>
            <w:r>
              <w:rPr>
                <w:rFonts w:hint="eastAsia" w:ascii="仿宋_GB2312" w:hAnsi="Times New Roman" w:eastAsia="宋体" w:cs="宋体"/>
                <w:b/>
                <w:kern w:val="0"/>
                <w:sz w:val="24"/>
                <w:szCs w:val="28"/>
              </w:rPr>
              <w:t>期權經營機構人員資訊及意見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709" w:type="dxa"/>
            <w:gridSpan w:val="4"/>
            <w:vMerge w:val="restart"/>
            <w:tcBorders>
              <w:top w:val="nil"/>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管理該程式交易者的對接人員</w:t>
            </w: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姓名</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職務</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座機</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手機</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709" w:type="dxa"/>
            <w:gridSpan w:val="4"/>
            <w:vMerge w:val="continue"/>
            <w:tcBorders>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電子郵箱</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709" w:type="dxa"/>
            <w:gridSpan w:val="4"/>
            <w:vMerge w:val="restart"/>
            <w:tcBorders>
              <w:top w:val="nil"/>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管理該程式交易者風險控制人員</w:t>
            </w: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姓名</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職務</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座機</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手機</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電子郵箱</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709" w:type="dxa"/>
            <w:gridSpan w:val="4"/>
            <w:vMerge w:val="continue"/>
            <w:tcBorders>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姓名</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70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 xml:space="preserve">期權經營機構意見             </w:t>
            </w:r>
          </w:p>
        </w:tc>
        <w:tc>
          <w:tcPr>
            <w:tcW w:w="7783" w:type="dxa"/>
            <w:gridSpan w:val="10"/>
            <w:tcBorders>
              <w:top w:val="single" w:color="auto" w:sz="4" w:space="0"/>
              <w:left w:val="nil"/>
              <w:bottom w:val="single" w:color="auto" w:sz="4" w:space="0"/>
              <w:right w:val="single" w:color="auto" w:sz="4" w:space="0"/>
            </w:tcBorders>
          </w:tcPr>
          <w:p>
            <w:pPr>
              <w:pStyle w:val="96"/>
              <w:widowControl/>
              <w:numPr>
                <w:ilvl w:val="0"/>
                <w:numId w:val="6"/>
              </w:numPr>
              <w:spacing w:line="360" w:lineRule="auto"/>
              <w:ind w:firstLineChars="0"/>
              <w:rPr>
                <w:rFonts w:hAnsi="Times New Roman" w:cs="宋体"/>
                <w:kern w:val="0"/>
                <w:sz w:val="24"/>
                <w:szCs w:val="28"/>
              </w:rPr>
            </w:pPr>
            <w:r>
              <w:rPr>
                <w:rFonts w:hint="eastAsia" w:ascii="仿宋_GB2312" w:hAnsi="Times New Roman" w:eastAsia="宋体"/>
                <w:kern w:val="0"/>
                <w:sz w:val="24"/>
                <w:szCs w:val="20"/>
              </w:rPr>
              <w:t>本期權經營機構已對客戶報備資訊進行盡職審查並同意客戶報備。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270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簽字及蓋章</w:t>
            </w:r>
          </w:p>
        </w:tc>
        <w:tc>
          <w:tcPr>
            <w:tcW w:w="7783" w:type="dxa"/>
            <w:gridSpan w:val="10"/>
            <w:tcBorders>
              <w:top w:val="single" w:color="auto" w:sz="4" w:space="0"/>
              <w:left w:val="nil"/>
              <w:bottom w:val="single" w:color="auto" w:sz="4" w:space="0"/>
              <w:right w:val="single" w:color="auto" w:sz="4" w:space="0"/>
            </w:tcBorders>
          </w:tcPr>
          <w:p>
            <w:pPr>
              <w:pStyle w:val="96"/>
              <w:widowControl/>
              <w:ind w:left="360" w:firstLine="0" w:firstLineChars="0"/>
              <w:rPr>
                <w:rFonts w:hAnsi="Times New Roman" w:cs="宋体"/>
                <w:kern w:val="0"/>
                <w:sz w:val="24"/>
                <w:szCs w:val="28"/>
              </w:rPr>
            </w:pPr>
          </w:p>
        </w:tc>
      </w:tr>
    </w:tbl>
    <w:p>
      <w:pPr>
        <w:spacing w:beforeLines="50" w:afterLines="50"/>
        <w:rPr>
          <w:rFonts w:ascii="仿宋_GB2312" w:hAnsi="Times New Roman" w:eastAsia="仿宋_GB2312"/>
          <w:kern w:val="0"/>
          <w:sz w:val="24"/>
          <w:szCs w:val="20"/>
        </w:rPr>
      </w:pPr>
      <w:r>
        <w:rPr>
          <w:rFonts w:hint="eastAsia" w:ascii="仿宋_GB2312" w:hAnsi="Times New Roman" w:eastAsia="宋体"/>
          <w:kern w:val="0"/>
          <w:sz w:val="24"/>
          <w:szCs w:val="20"/>
        </w:rPr>
        <w:t>填報人:</w:t>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宋体"/>
          <w:kern w:val="0"/>
          <w:sz w:val="24"/>
          <w:szCs w:val="20"/>
        </w:rPr>
        <w:t>填報日期：</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說明：</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1、 本表格適用於非做市商帳戶填寫。表格資訊除明確了“個人帳戶填寫”、“機構帳戶填寫”外，其他所有資訊必填，如不適用請填寫“不適用”。</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2、 期權經營機構編碼一欄期貨公司填寫會員編號。</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3、 “首次報備”適用於客戶第一次報備。</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4、 當投資者對首次報備的以下資訊發生變更時，需要再次提交報備，報備帳戶類型填寫“變更報備”：</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1）機構帳戶資金來源發生變更；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2）機構帳戶實際控制人發生變更；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3）機構帳戶主要交易員資訊發生變更；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4）交易系統、下單系統伺服器所在城市發生變更；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5）程式交易軟體資訊發生重大變更；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6）其他重大資訊變更。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5、 當客戶對已報備的程式交易帳戶撤銷程式交易許可權時，適用於“撤銷報備”。</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6、 期權經營機構簽證及蓋章要求：衍生品經紀業務負責人或其委託授權人簽字，加蓋衍生品經紀業務部門印章或負責衍生品經紀業務的部門印章。</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7、 按客戶分文件填列資訊，以“期權經營機構代碼_衍生品合約帳戶_報備日期”為檔案名。</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8、 請於每個交易日的15:00至17:00傳真至上交所，並將電子檔以電子郵件發送至指定郵箱。</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傳真號：021-68810528-62#</w:t>
      </w:r>
    </w:p>
    <w:p>
      <w:pPr>
        <w:ind w:firstLine="482"/>
      </w:pPr>
      <w:r>
        <w:rPr>
          <w:rFonts w:hint="eastAsia" w:ascii="仿宋_GB2312" w:hAnsi="Times New Roman" w:eastAsia="宋体" w:cs="宋体"/>
          <w:kern w:val="0"/>
          <w:sz w:val="24"/>
          <w:szCs w:val="28"/>
        </w:rPr>
        <w:t>電子郵箱：riskdispose01@sse.com.cn</w:t>
      </w:r>
      <w:r>
        <w:rPr>
          <w:rFonts w:ascii="仿宋_GB2312" w:hAnsi="Times New Roman" w:eastAsia="仿宋_GB2312" w:cs="宋体"/>
          <w:kern w:val="0"/>
          <w:sz w:val="24"/>
          <w:szCs w:val="28"/>
        </w:rPr>
        <w:tab/>
      </w:r>
    </w:p>
    <w:bookmarkEnd w:id="496"/>
    <w:p>
      <w:pPr>
        <w:pStyle w:val="2"/>
      </w:pPr>
      <w:bookmarkStart w:id="500" w:name="_Toc452017061"/>
      <w:bookmarkStart w:id="501" w:name="_Toc23947199"/>
      <w:bookmarkStart w:id="502" w:name="附件三：大户持仓报告表"/>
      <w:r>
        <w:rPr>
          <w:rFonts w:hint="eastAsia" w:eastAsia="宋体"/>
        </w:rPr>
        <w:t>附件三：</w:t>
      </w:r>
      <w:bookmarkEnd w:id="500"/>
      <w:bookmarkEnd w:id="501"/>
    </w:p>
    <w:p>
      <w:pPr>
        <w:pStyle w:val="2"/>
      </w:pPr>
      <w:bookmarkStart w:id="503" w:name="_Toc452017062"/>
      <w:bookmarkStart w:id="504" w:name="_Toc14132"/>
      <w:bookmarkStart w:id="505" w:name="_Toc7256"/>
      <w:bookmarkStart w:id="506" w:name="_Toc23947200"/>
      <w:r>
        <w:rPr>
          <w:rFonts w:hint="eastAsia" w:eastAsia="宋体"/>
        </w:rPr>
        <w:t>大戶持倉報告表</w:t>
      </w:r>
      <w:bookmarkEnd w:id="503"/>
      <w:bookmarkEnd w:id="504"/>
      <w:bookmarkEnd w:id="505"/>
      <w:bookmarkEnd w:id="506"/>
    </w:p>
    <w:bookmarkEnd w:id="502"/>
    <w:tbl>
      <w:tblPr>
        <w:tblStyle w:val="2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93"/>
        <w:gridCol w:w="1112"/>
        <w:gridCol w:w="1420"/>
        <w:gridCol w:w="951"/>
        <w:gridCol w:w="567"/>
        <w:gridCol w:w="993"/>
        <w:gridCol w:w="175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投資者（證券公司）名稱</w:t>
            </w:r>
          </w:p>
        </w:tc>
        <w:tc>
          <w:tcPr>
            <w:tcW w:w="6794"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合約帳戶</w:t>
            </w:r>
          </w:p>
        </w:tc>
        <w:tc>
          <w:tcPr>
            <w:tcW w:w="25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4262"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□普通</w:t>
            </w:r>
            <w:r>
              <w:rPr>
                <w:rFonts w:hint="eastAsia" w:ascii="Times New Roman" w:hAnsi="Times New Roman" w:eastAsia="宋体" w:cs="宋体"/>
                <w:kern w:val="0"/>
                <w:sz w:val="24"/>
                <w:szCs w:val="28"/>
              </w:rPr>
              <w:t> </w:t>
            </w:r>
            <w:r>
              <w:rPr>
                <w:rFonts w:hint="eastAsia" w:ascii="仿宋_GB2312" w:hAnsi="Times New Roman" w:eastAsia="宋体" w:cs="宋体"/>
                <w:kern w:val="0"/>
                <w:sz w:val="24"/>
                <w:szCs w:val="28"/>
              </w:rPr>
              <w:t>　□套保  □自營  □做市商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聯繫地址</w:t>
            </w:r>
          </w:p>
        </w:tc>
        <w:tc>
          <w:tcPr>
            <w:tcW w:w="25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251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聯繫電話</w:t>
            </w:r>
          </w:p>
        </w:tc>
        <w:tc>
          <w:tcPr>
            <w:tcW w:w="17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合約編碼1</w:t>
            </w:r>
          </w:p>
        </w:tc>
        <w:tc>
          <w:tcPr>
            <w:tcW w:w="25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251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佔用保證金（萬元）</w:t>
            </w:r>
          </w:p>
        </w:tc>
        <w:tc>
          <w:tcPr>
            <w:tcW w:w="17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權利倉持倉量</w:t>
            </w:r>
          </w:p>
        </w:tc>
        <w:tc>
          <w:tcPr>
            <w:tcW w:w="11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義務倉持倉量</w:t>
            </w:r>
          </w:p>
        </w:tc>
        <w:tc>
          <w:tcPr>
            <w:tcW w:w="9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15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備兌持倉</w:t>
            </w:r>
          </w:p>
        </w:tc>
        <w:tc>
          <w:tcPr>
            <w:tcW w:w="17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36" w:hRule="atLeast"/>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持倉意向（含行權意願與可能被行權準備情況說明）</w:t>
            </w:r>
          </w:p>
        </w:tc>
        <w:tc>
          <w:tcPr>
            <w:tcW w:w="6794"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p>
            <w:pPr>
              <w:keepNext/>
              <w:keepLines/>
              <w:widowControl/>
              <w:spacing w:before="100" w:beforeAutospacing="1" w:after="100" w:afterAutospacing="1"/>
              <w:outlineLvl w:val="2"/>
              <w:rPr>
                <w:rFonts w:ascii="仿宋_GB2312" w:hAnsi="Times New Roman" w:eastAsia="仿宋_GB2312" w:cs="宋体"/>
                <w:kern w:val="0"/>
                <w:sz w:val="24"/>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合約編碼2</w:t>
            </w:r>
          </w:p>
        </w:tc>
        <w:tc>
          <w:tcPr>
            <w:tcW w:w="25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251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佔用保證金（萬元）</w:t>
            </w:r>
          </w:p>
        </w:tc>
        <w:tc>
          <w:tcPr>
            <w:tcW w:w="17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權利倉持倉量</w:t>
            </w:r>
          </w:p>
        </w:tc>
        <w:tc>
          <w:tcPr>
            <w:tcW w:w="11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義務倉持倉量</w:t>
            </w:r>
          </w:p>
        </w:tc>
        <w:tc>
          <w:tcPr>
            <w:tcW w:w="9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15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備兌持倉</w:t>
            </w:r>
          </w:p>
        </w:tc>
        <w:tc>
          <w:tcPr>
            <w:tcW w:w="17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31" w:hRule="atLeast"/>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持倉意向（含行權意願與可能被行權準備情況說明）</w:t>
            </w:r>
          </w:p>
        </w:tc>
        <w:tc>
          <w:tcPr>
            <w:tcW w:w="6794"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p>
            <w:pPr>
              <w:keepNext/>
              <w:keepLines/>
              <w:widowControl/>
              <w:spacing w:before="100" w:beforeAutospacing="1" w:after="100" w:afterAutospacing="1"/>
              <w:outlineLvl w:val="2"/>
              <w:rPr>
                <w:rFonts w:ascii="仿宋_GB2312" w:hAnsi="Times New Roman" w:eastAsia="仿宋_GB2312" w:cs="宋体"/>
                <w:kern w:val="0"/>
                <w:sz w:val="24"/>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合約編碼3</w:t>
            </w:r>
          </w:p>
        </w:tc>
        <w:tc>
          <w:tcPr>
            <w:tcW w:w="25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251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佔用保證金（萬元）</w:t>
            </w:r>
          </w:p>
        </w:tc>
        <w:tc>
          <w:tcPr>
            <w:tcW w:w="17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權利倉持倉量</w:t>
            </w:r>
          </w:p>
        </w:tc>
        <w:tc>
          <w:tcPr>
            <w:tcW w:w="11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義務倉持倉量</w:t>
            </w:r>
          </w:p>
        </w:tc>
        <w:tc>
          <w:tcPr>
            <w:tcW w:w="9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15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備兌持倉</w:t>
            </w:r>
          </w:p>
        </w:tc>
        <w:tc>
          <w:tcPr>
            <w:tcW w:w="17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持倉意向（含行權意願與可能被行權準備情況說明）</w:t>
            </w:r>
          </w:p>
        </w:tc>
        <w:tc>
          <w:tcPr>
            <w:tcW w:w="6794"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p>
            <w:pPr>
              <w:keepNext/>
              <w:keepLines/>
              <w:widowControl/>
              <w:spacing w:before="100" w:beforeAutospacing="1" w:after="100" w:afterAutospacing="1"/>
              <w:outlineLvl w:val="2"/>
              <w:rPr>
                <w:rFonts w:ascii="仿宋_GB2312" w:hAnsi="Times New Roman" w:eastAsia="仿宋_GB2312" w:cs="宋体"/>
                <w:kern w:val="0"/>
                <w:sz w:val="24"/>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總持倉保證金</w:t>
            </w:r>
          </w:p>
        </w:tc>
        <w:tc>
          <w:tcPr>
            <w:tcW w:w="11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14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資金規模</w:t>
            </w:r>
          </w:p>
        </w:tc>
        <w:tc>
          <w:tcPr>
            <w:tcW w:w="9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156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實際控制人</w:t>
            </w:r>
          </w:p>
        </w:tc>
        <w:tc>
          <w:tcPr>
            <w:tcW w:w="17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證券擔保物情況</w:t>
            </w:r>
          </w:p>
        </w:tc>
        <w:tc>
          <w:tcPr>
            <w:tcW w:w="6794"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keepNext/>
              <w:keepLines/>
              <w:widowControl/>
              <w:spacing w:before="100" w:beforeAutospacing="1" w:after="100" w:afterAutospacing="1"/>
              <w:outlineLvl w:val="2"/>
              <w:rPr>
                <w:rFonts w:ascii="仿宋_GB2312" w:hAnsi="Times New Roman" w:eastAsia="仿宋_GB2312" w:cs="宋体"/>
                <w:kern w:val="0"/>
                <w:sz w:val="24"/>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持有其他期貨期權品種情況說明</w:t>
            </w:r>
          </w:p>
        </w:tc>
        <w:tc>
          <w:tcPr>
            <w:tcW w:w="6794"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keepNext/>
              <w:keepLines/>
              <w:widowControl/>
              <w:spacing w:before="100" w:beforeAutospacing="1" w:after="100" w:afterAutospacing="1"/>
              <w:outlineLvl w:val="2"/>
              <w:rPr>
                <w:rFonts w:ascii="仿宋_GB2312" w:hAnsi="Times New Roman" w:eastAsia="仿宋_GB2312" w:cs="宋体"/>
                <w:kern w:val="0"/>
                <w:sz w:val="24"/>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資金來源</w:t>
            </w:r>
          </w:p>
        </w:tc>
        <w:tc>
          <w:tcPr>
            <w:tcW w:w="6794"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887"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ind w:firstLine="360"/>
              <w:rPr>
                <w:rFonts w:ascii="仿宋_GB2312" w:hAnsi="Times New Roman" w:eastAsia="仿宋_GB2312" w:cs="宋体"/>
                <w:kern w:val="0"/>
                <w:sz w:val="24"/>
                <w:szCs w:val="28"/>
              </w:rPr>
            </w:pPr>
            <w:r>
              <w:rPr>
                <w:rFonts w:hint="eastAsia" w:ascii="仿宋_GB2312" w:hAnsi="Times New Roman" w:eastAsia="宋体" w:cs="宋体"/>
                <w:kern w:val="0"/>
                <w:sz w:val="24"/>
                <w:szCs w:val="28"/>
              </w:rPr>
              <w:t>本人（公司）保證以上報告內容的真實性和準確性，不存在任何故意虛假或者遺漏。</w:t>
            </w:r>
          </w:p>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r>
              <w:rPr>
                <w:rFonts w:hint="eastAsia" w:ascii="仿宋_GB2312" w:hAnsi="Times New Roman" w:eastAsia="宋体" w:cs="宋体"/>
                <w:kern w:val="0"/>
                <w:sz w:val="24"/>
                <w:szCs w:val="28"/>
              </w:rPr>
              <w:t>報告人簽名：　　　　　　　　　　　　　　　　　</w:t>
            </w:r>
            <w:r>
              <w:rPr>
                <w:rFonts w:hint="eastAsia" w:ascii="Times New Roman" w:hAnsi="Times New Roman" w:eastAsia="宋体" w:cs="宋体"/>
                <w:kern w:val="0"/>
                <w:sz w:val="24"/>
                <w:szCs w:val="28"/>
              </w:rPr>
              <w:t> </w:t>
            </w:r>
            <w:r>
              <w:rPr>
                <w:rFonts w:hint="eastAsia" w:ascii="仿宋_GB2312" w:hAnsi="Times New Roman" w:eastAsia="宋体" w:cs="宋体"/>
                <w:kern w:val="0"/>
                <w:sz w:val="24"/>
                <w:szCs w:val="28"/>
              </w:rPr>
              <w:t>　　　　　報告日期：　　　年　</w:t>
            </w:r>
            <w:r>
              <w:rPr>
                <w:rFonts w:hint="eastAsia" w:ascii="Times New Roman" w:hAnsi="Times New Roman" w:eastAsia="宋体" w:cs="宋体"/>
                <w:kern w:val="0"/>
                <w:sz w:val="24"/>
                <w:szCs w:val="28"/>
              </w:rPr>
              <w:t> </w:t>
            </w:r>
            <w:r>
              <w:rPr>
                <w:rFonts w:hint="eastAsia" w:ascii="仿宋_GB2312" w:hAnsi="Times New Roman" w:eastAsia="宋体" w:cs="宋体"/>
                <w:kern w:val="0"/>
                <w:sz w:val="24"/>
                <w:szCs w:val="28"/>
              </w:rPr>
              <w:t>月　</w:t>
            </w:r>
            <w:r>
              <w:rPr>
                <w:rFonts w:hint="eastAsia" w:ascii="Times New Roman" w:hAnsi="Times New Roman" w:eastAsia="宋体" w:cs="宋体"/>
                <w:kern w:val="0"/>
                <w:sz w:val="24"/>
                <w:szCs w:val="28"/>
              </w:rPr>
              <w:t> </w:t>
            </w:r>
            <w:r>
              <w:rPr>
                <w:rFonts w:hint="eastAsia" w:ascii="仿宋_GB2312" w:hAnsi="Times New Roman" w:eastAsia="宋体" w:cs="宋体"/>
                <w:kern w:val="0"/>
                <w:sz w:val="24"/>
                <w:szCs w:val="28"/>
              </w:rPr>
              <w:t>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證券公司名稱</w:t>
            </w:r>
          </w:p>
        </w:tc>
        <w:tc>
          <w:tcPr>
            <w:tcW w:w="25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151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證券公司代碼</w:t>
            </w:r>
          </w:p>
        </w:tc>
        <w:tc>
          <w:tcPr>
            <w:tcW w:w="274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投資者開戶日期</w:t>
            </w:r>
          </w:p>
        </w:tc>
        <w:tc>
          <w:tcPr>
            <w:tcW w:w="25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c>
          <w:tcPr>
            <w:tcW w:w="151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投資者交易方式</w:t>
            </w:r>
          </w:p>
        </w:tc>
        <w:tc>
          <w:tcPr>
            <w:tcW w:w="274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887"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ind w:firstLine="360"/>
              <w:rPr>
                <w:rFonts w:ascii="仿宋_GB2312" w:hAnsi="Times New Roman" w:eastAsia="仿宋_GB2312" w:cs="宋体"/>
                <w:kern w:val="0"/>
                <w:sz w:val="24"/>
                <w:szCs w:val="28"/>
              </w:rPr>
            </w:pPr>
            <w:r>
              <w:rPr>
                <w:rFonts w:hint="eastAsia" w:ascii="仿宋_GB2312" w:hAnsi="Times New Roman" w:eastAsia="宋体" w:cs="宋体"/>
                <w:kern w:val="0"/>
                <w:sz w:val="24"/>
                <w:szCs w:val="28"/>
              </w:rPr>
              <w:t>經審核，本公司保證本報告所有內容的真實性和準確性，不存在任何隱瞞或者遺漏。</w:t>
            </w:r>
          </w:p>
          <w:p>
            <w:pPr>
              <w:widowControl/>
              <w:spacing w:before="100" w:beforeAutospacing="1" w:after="100" w:afterAutospacing="1"/>
              <w:rPr>
                <w:rFonts w:ascii="仿宋_GB2312" w:hAnsi="Times New Roman" w:eastAsia="仿宋_GB2312" w:cs="宋体"/>
                <w:kern w:val="0"/>
                <w:sz w:val="24"/>
                <w:szCs w:val="28"/>
              </w:rPr>
            </w:pPr>
            <w:r>
              <w:rPr>
                <w:rFonts w:hint="eastAsia" w:ascii="Times New Roman" w:hAnsi="Times New Roman" w:eastAsia="宋体" w:cs="宋体"/>
                <w:kern w:val="0"/>
                <w:sz w:val="24"/>
                <w:szCs w:val="28"/>
              </w:rPr>
              <w:t> </w:t>
            </w:r>
          </w:p>
          <w:p>
            <w:pPr>
              <w:widowControl/>
              <w:spacing w:before="100" w:beforeAutospacing="1" w:after="100" w:afterAutospacing="1"/>
              <w:jc w:val="right"/>
              <w:rPr>
                <w:rFonts w:ascii="仿宋_GB2312" w:hAnsi="Times New Roman" w:eastAsia="仿宋_GB2312" w:cs="宋体"/>
                <w:kern w:val="0"/>
                <w:sz w:val="24"/>
                <w:szCs w:val="28"/>
              </w:rPr>
            </w:pPr>
            <w:r>
              <w:rPr>
                <w:rFonts w:hint="eastAsia" w:ascii="仿宋_GB2312" w:hAnsi="Times New Roman" w:eastAsia="宋体" w:cs="宋体"/>
                <w:kern w:val="0"/>
                <w:sz w:val="24"/>
                <w:szCs w:val="28"/>
              </w:rPr>
              <w:t>證券公司單位蓋章：　　　　　　　　　　　　　　　　　　　　　　　報告日期：　　　年　</w:t>
            </w:r>
            <w:r>
              <w:rPr>
                <w:rFonts w:hint="eastAsia" w:ascii="Times New Roman" w:hAnsi="Times New Roman" w:eastAsia="宋体" w:cs="宋体"/>
                <w:kern w:val="0"/>
                <w:sz w:val="24"/>
                <w:szCs w:val="28"/>
              </w:rPr>
              <w:t> </w:t>
            </w:r>
            <w:r>
              <w:rPr>
                <w:rFonts w:hint="eastAsia" w:ascii="仿宋_GB2312" w:hAnsi="Times New Roman" w:eastAsia="宋体" w:cs="宋体"/>
                <w:kern w:val="0"/>
                <w:sz w:val="24"/>
                <w:szCs w:val="28"/>
              </w:rPr>
              <w:t>月　</w:t>
            </w:r>
            <w:r>
              <w:rPr>
                <w:rFonts w:hint="eastAsia" w:ascii="Times New Roman" w:hAnsi="Times New Roman" w:eastAsia="宋体" w:cs="宋体"/>
                <w:kern w:val="0"/>
                <w:sz w:val="24"/>
                <w:szCs w:val="28"/>
              </w:rPr>
              <w:t> </w:t>
            </w:r>
            <w:r>
              <w:rPr>
                <w:rFonts w:hint="eastAsia" w:ascii="仿宋_GB2312" w:hAnsi="Times New Roman" w:eastAsia="宋体" w:cs="宋体"/>
                <w:kern w:val="0"/>
                <w:sz w:val="24"/>
                <w:szCs w:val="28"/>
              </w:rPr>
              <w:t>日</w:t>
            </w:r>
          </w:p>
        </w:tc>
      </w:tr>
    </w:tbl>
    <w:p/>
    <w:sectPr>
      <w:footerReference r:id="rId9"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pple-system">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文本框 4098"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5"/>
                  <w:jc w:val="center"/>
                </w:pPr>
                <w:r>
                  <w:fldChar w:fldCharType="begin"/>
                </w:r>
                <w:r>
                  <w:instrText xml:space="preserve"> PAGE   \* MERGEFORMAT </w:instrText>
                </w:r>
                <w:r>
                  <w:fldChar w:fldCharType="separate"/>
                </w:r>
                <w:r>
                  <w:rPr>
                    <w:rFonts w:eastAsia="宋体"/>
                    <w:lang w:val="zh-CN"/>
                  </w:rPr>
                  <w:t>92</w:t>
                </w:r>
                <w:r>
                  <w:rPr>
                    <w:lang w:val="zh-CN"/>
                  </w:rPr>
                  <w:fldChar w:fldCharType="end"/>
                </w:r>
              </w:p>
            </w:txbxContent>
          </v:textbox>
        </v:shape>
      </w:pic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4099"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eastAsia="宋体"/>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文本框 409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jc w:val="center"/>
                </w:pPr>
                <w:r>
                  <w:fldChar w:fldCharType="begin"/>
                </w:r>
                <w:r>
                  <w:instrText xml:space="preserve"> PAGE   \* MERGEFORMAT </w:instrText>
                </w:r>
                <w:r>
                  <w:fldChar w:fldCharType="separate"/>
                </w:r>
                <w:r>
                  <w:rPr>
                    <w:rFonts w:eastAsia="宋体"/>
                    <w:lang w:val="zh-CN"/>
                  </w:rPr>
                  <w:t>1</w:t>
                </w:r>
                <w:r>
                  <w:fldChar w:fldCharType="end"/>
                </w:r>
              </w:p>
            </w:txbxContent>
          </v:textbox>
        </v:shape>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57631"/>
    <w:multiLevelType w:val="multilevel"/>
    <w:tmpl w:val="1ED57631"/>
    <w:lvl w:ilvl="0" w:tentative="0">
      <w:start w:val="1"/>
      <w:numFmt w:val="bullet"/>
      <w:lvlText w:val="□"/>
      <w:lvlJc w:val="left"/>
      <w:pPr>
        <w:ind w:left="360" w:hanging="360"/>
      </w:pPr>
      <w:rPr>
        <w:rFonts w:hint="eastAsia" w:ascii="仿宋_GB2312" w:hAnsi="Times New Roman" w:eastAsia="仿宋_GB2312"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47965D8"/>
    <w:multiLevelType w:val="multilevel"/>
    <w:tmpl w:val="547965D8"/>
    <w:lvl w:ilvl="0" w:tentative="0">
      <w:start w:val="0"/>
      <w:numFmt w:val="bullet"/>
      <w:lvlText w:val="□"/>
      <w:lvlJc w:val="left"/>
      <w:pPr>
        <w:ind w:left="360" w:hanging="360"/>
      </w:pPr>
      <w:rPr>
        <w:rFonts w:hint="eastAsia" w:ascii="仿宋_GB2312" w:hAnsi="Times New Roman" w:eastAsia="仿宋_GB2312"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6F8CD5D"/>
    <w:multiLevelType w:val="singleLevel"/>
    <w:tmpl w:val="56F8CD5D"/>
    <w:lvl w:ilvl="0" w:tentative="0">
      <w:start w:val="2"/>
      <w:numFmt w:val="decimal"/>
      <w:suff w:val="nothing"/>
      <w:lvlText w:val="%1、"/>
      <w:lvlJc w:val="left"/>
    </w:lvl>
  </w:abstractNum>
  <w:abstractNum w:abstractNumId="3">
    <w:nsid w:val="5716E5A3"/>
    <w:multiLevelType w:val="singleLevel"/>
    <w:tmpl w:val="5716E5A3"/>
    <w:lvl w:ilvl="0" w:tentative="0">
      <w:start w:val="1"/>
      <w:numFmt w:val="decimal"/>
      <w:suff w:val="nothing"/>
      <w:lvlText w:val="（%1）"/>
      <w:lvlJc w:val="left"/>
    </w:lvl>
  </w:abstractNum>
  <w:abstractNum w:abstractNumId="4">
    <w:nsid w:val="5716F39D"/>
    <w:multiLevelType w:val="singleLevel"/>
    <w:tmpl w:val="5716F39D"/>
    <w:lvl w:ilvl="0" w:tentative="0">
      <w:start w:val="6"/>
      <w:numFmt w:val="chineseCounting"/>
      <w:suff w:val="nothing"/>
      <w:lvlText w:val="（%1）"/>
      <w:lvlJc w:val="left"/>
    </w:lvl>
  </w:abstractNum>
  <w:abstractNum w:abstractNumId="5">
    <w:nsid w:val="5721C188"/>
    <w:multiLevelType w:val="singleLevel"/>
    <w:tmpl w:val="5721C188"/>
    <w:lvl w:ilvl="0" w:tentative="0">
      <w:start w:val="4"/>
      <w:numFmt w:val="chineseCounting"/>
      <w:suff w:val="nothing"/>
      <w:lvlText w:val="%1、"/>
      <w:lvlJc w:val="left"/>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4ZDQ1MTQ3NTY0MThjMTQzN2QzNzYyOGE5NTIxZjEifQ=="/>
  </w:docVars>
  <w:rsids>
    <w:rsidRoot w:val="002F2E85"/>
    <w:rsid w:val="000454F6"/>
    <w:rsid w:val="001606F2"/>
    <w:rsid w:val="002F2E85"/>
    <w:rsid w:val="003529F3"/>
    <w:rsid w:val="00384831"/>
    <w:rsid w:val="00447F8D"/>
    <w:rsid w:val="00493016"/>
    <w:rsid w:val="005E6140"/>
    <w:rsid w:val="006B1430"/>
    <w:rsid w:val="00743FAC"/>
    <w:rsid w:val="0077064B"/>
    <w:rsid w:val="00A659EB"/>
    <w:rsid w:val="00AF25D9"/>
    <w:rsid w:val="00B3720E"/>
    <w:rsid w:val="00B66854"/>
    <w:rsid w:val="00C337D6"/>
    <w:rsid w:val="00D963D1"/>
    <w:rsid w:val="00E32C86"/>
    <w:rsid w:val="00E369D3"/>
    <w:rsid w:val="00FD50FA"/>
    <w:rsid w:val="7BFF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jc w:val="left"/>
      <w:outlineLvl w:val="0"/>
    </w:pPr>
    <w:rPr>
      <w:rFonts w:eastAsia="仿宋_GB2312"/>
      <w:b/>
      <w:bCs/>
      <w:kern w:val="44"/>
      <w:sz w:val="28"/>
      <w:szCs w:val="44"/>
    </w:rPr>
  </w:style>
  <w:style w:type="paragraph" w:styleId="3">
    <w:name w:val="heading 2"/>
    <w:basedOn w:val="1"/>
    <w:next w:val="1"/>
    <w:link w:val="42"/>
    <w:qFormat/>
    <w:uiPriority w:val="9"/>
    <w:pPr>
      <w:keepNext/>
      <w:keepLines/>
      <w:spacing w:before="260" w:after="260"/>
      <w:ind w:firstLine="200" w:firstLineChars="200"/>
      <w:jc w:val="left"/>
      <w:outlineLvl w:val="1"/>
    </w:pPr>
    <w:rPr>
      <w:rFonts w:ascii="Cambria" w:hAnsi="Cambria" w:eastAsia="仿宋_GB2312"/>
      <w:b/>
      <w:bCs/>
      <w:sz w:val="28"/>
      <w:szCs w:val="32"/>
    </w:rPr>
  </w:style>
  <w:style w:type="paragraph" w:styleId="4">
    <w:name w:val="heading 3"/>
    <w:basedOn w:val="1"/>
    <w:next w:val="1"/>
    <w:link w:val="43"/>
    <w:qFormat/>
    <w:uiPriority w:val="9"/>
    <w:pPr>
      <w:keepNext/>
      <w:keepLines/>
      <w:spacing w:before="260" w:after="260" w:line="416" w:lineRule="auto"/>
      <w:outlineLvl w:val="2"/>
    </w:pPr>
    <w:rPr>
      <w:b/>
      <w:bCs/>
      <w:sz w:val="32"/>
      <w:szCs w:val="32"/>
    </w:rPr>
  </w:style>
  <w:style w:type="paragraph" w:styleId="5">
    <w:name w:val="heading 4"/>
    <w:basedOn w:val="1"/>
    <w:next w:val="1"/>
    <w:link w:val="44"/>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45"/>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Normal Indent"/>
    <w:basedOn w:val="1"/>
    <w:unhideWhenUsed/>
    <w:qFormat/>
    <w:uiPriority w:val="99"/>
    <w:pPr>
      <w:adjustRightInd w:val="0"/>
      <w:snapToGrid w:val="0"/>
      <w:spacing w:beforeLines="50" w:afterLines="50" w:line="288" w:lineRule="auto"/>
      <w:ind w:firstLine="200" w:firstLineChars="200"/>
    </w:pPr>
    <w:rPr>
      <w:rFonts w:ascii="Times New Roman" w:hAnsi="Times New Roman" w:eastAsia="楷体_GB2312"/>
      <w:sz w:val="24"/>
      <w:szCs w:val="24"/>
    </w:rPr>
  </w:style>
  <w:style w:type="paragraph" w:styleId="9">
    <w:name w:val="Document Map"/>
    <w:basedOn w:val="1"/>
    <w:link w:val="85"/>
    <w:unhideWhenUsed/>
    <w:qFormat/>
    <w:uiPriority w:val="99"/>
    <w:rPr>
      <w:rFonts w:ascii="宋体" w:hAnsiTheme="minorHAnsi" w:eastAsiaTheme="minorEastAsia" w:cstheme="minorBidi"/>
      <w:sz w:val="18"/>
      <w:szCs w:val="18"/>
    </w:rPr>
  </w:style>
  <w:style w:type="paragraph" w:styleId="10">
    <w:name w:val="annotation text"/>
    <w:basedOn w:val="1"/>
    <w:link w:val="83"/>
    <w:unhideWhenUsed/>
    <w:qFormat/>
    <w:uiPriority w:val="99"/>
    <w:pPr>
      <w:jc w:val="left"/>
    </w:p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ind w:left="2940" w:leftChars="1400"/>
    </w:pPr>
  </w:style>
  <w:style w:type="paragraph" w:styleId="14">
    <w:name w:val="Balloon Text"/>
    <w:basedOn w:val="1"/>
    <w:link w:val="86"/>
    <w:unhideWhenUsed/>
    <w:qFormat/>
    <w:uiPriority w:val="99"/>
    <w:rPr>
      <w:rFonts w:asciiTheme="minorHAnsi" w:hAnsiTheme="minorHAnsi" w:eastAsiaTheme="minorEastAsia" w:cstheme="minorBidi"/>
      <w:sz w:val="18"/>
      <w:szCs w:val="18"/>
    </w:rPr>
  </w:style>
  <w:style w:type="paragraph" w:styleId="15">
    <w:name w:val="footer"/>
    <w:basedOn w:val="1"/>
    <w:link w:val="40"/>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style>
  <w:style w:type="paragraph" w:styleId="19">
    <w:name w:val="Subtitle"/>
    <w:basedOn w:val="1"/>
    <w:next w:val="1"/>
    <w:link w:val="82"/>
    <w:qFormat/>
    <w:uiPriority w:val="11"/>
    <w:pPr>
      <w:spacing w:before="240" w:after="60"/>
      <w:ind w:firstLine="200" w:firstLineChars="200"/>
      <w:jc w:val="left"/>
      <w:outlineLvl w:val="1"/>
    </w:pPr>
    <w:rPr>
      <w:rFonts w:ascii="Cambria" w:hAnsi="Cambria" w:eastAsia="仿宋_GB2312"/>
      <w:bCs/>
      <w:kern w:val="28"/>
      <w:sz w:val="28"/>
      <w:szCs w:val="32"/>
    </w:rPr>
  </w:style>
  <w:style w:type="paragraph" w:styleId="20">
    <w:name w:val="footnote text"/>
    <w:basedOn w:val="1"/>
    <w:link w:val="81"/>
    <w:unhideWhenUsed/>
    <w:qFormat/>
    <w:uiPriority w:val="99"/>
    <w:pPr>
      <w:snapToGrid w:val="0"/>
      <w:jc w:val="left"/>
    </w:pPr>
    <w:rPr>
      <w:rFonts w:asciiTheme="minorHAnsi" w:hAnsiTheme="minorHAnsi" w:eastAsiaTheme="minorEastAsia" w:cstheme="minorBidi"/>
      <w:sz w:val="18"/>
      <w:szCs w:val="18"/>
    </w:rPr>
  </w:style>
  <w:style w:type="paragraph" w:styleId="21">
    <w:name w:val="toc 6"/>
    <w:basedOn w:val="1"/>
    <w:next w:val="1"/>
    <w:unhideWhenUsed/>
    <w:qFormat/>
    <w:uiPriority w:val="39"/>
    <w:pPr>
      <w:ind w:left="2100" w:leftChars="1000"/>
    </w:pPr>
  </w:style>
  <w:style w:type="paragraph" w:styleId="22">
    <w:name w:val="toc 2"/>
    <w:basedOn w:val="1"/>
    <w:next w:val="1"/>
    <w:unhideWhenUsed/>
    <w:qFormat/>
    <w:uiPriority w:val="39"/>
    <w:pPr>
      <w:ind w:left="420" w:leftChars="200"/>
    </w:pPr>
  </w:style>
  <w:style w:type="paragraph" w:styleId="23">
    <w:name w:val="toc 9"/>
    <w:basedOn w:val="1"/>
    <w:next w:val="1"/>
    <w:unhideWhenUsed/>
    <w:uiPriority w:val="39"/>
    <w:pPr>
      <w:ind w:left="3360" w:leftChars="1600"/>
    </w:pPr>
  </w:style>
  <w:style w:type="paragraph" w:styleId="24">
    <w:name w:val="Normal (Web)"/>
    <w:basedOn w:val="1"/>
    <w:unhideWhenUsed/>
    <w:qFormat/>
    <w:uiPriority w:val="99"/>
    <w:rPr>
      <w:rFonts w:ascii="Times New Roman" w:hAnsi="Times New Roman"/>
      <w:sz w:val="24"/>
      <w:szCs w:val="20"/>
    </w:rPr>
  </w:style>
  <w:style w:type="paragraph" w:styleId="25">
    <w:name w:val="Title"/>
    <w:basedOn w:val="1"/>
    <w:next w:val="1"/>
    <w:link w:val="87"/>
    <w:qFormat/>
    <w:uiPriority w:val="10"/>
    <w:pPr>
      <w:spacing w:before="240" w:after="60"/>
      <w:ind w:left="100" w:leftChars="100" w:right="100" w:rightChars="100" w:firstLine="200" w:firstLineChars="200"/>
      <w:jc w:val="center"/>
      <w:outlineLvl w:val="0"/>
    </w:pPr>
    <w:rPr>
      <w:rFonts w:ascii="Cambria" w:hAnsi="Cambria" w:eastAsia="仿宋_GB2312"/>
      <w:b/>
      <w:bCs/>
      <w:sz w:val="30"/>
      <w:szCs w:val="32"/>
    </w:rPr>
  </w:style>
  <w:style w:type="paragraph" w:styleId="26">
    <w:name w:val="annotation subject"/>
    <w:basedOn w:val="10"/>
    <w:next w:val="10"/>
    <w:link w:val="84"/>
    <w:unhideWhenUsed/>
    <w:qFormat/>
    <w:uiPriority w:val="99"/>
    <w:rPr>
      <w:rFonts w:asciiTheme="minorHAnsi" w:hAnsiTheme="minorHAnsi" w:eastAsiaTheme="minorEastAsia" w:cstheme="minorBidi"/>
      <w:b/>
      <w:bCs/>
    </w:rPr>
  </w:style>
  <w:style w:type="table" w:styleId="28">
    <w:name w:val="Table Grid"/>
    <w:basedOn w:val="27"/>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basedOn w:val="29"/>
    <w:qFormat/>
    <w:uiPriority w:val="22"/>
    <w:rPr>
      <w:b/>
      <w:color w:val="23527C"/>
      <w:u w:val="none"/>
    </w:rPr>
  </w:style>
  <w:style w:type="character" w:styleId="31">
    <w:name w:val="FollowedHyperlink"/>
    <w:basedOn w:val="29"/>
    <w:unhideWhenUsed/>
    <w:qFormat/>
    <w:uiPriority w:val="99"/>
    <w:rPr>
      <w:color w:val="337AB7"/>
      <w:u w:val="none"/>
    </w:rPr>
  </w:style>
  <w:style w:type="character" w:styleId="32">
    <w:name w:val="HTML Definition"/>
    <w:basedOn w:val="29"/>
    <w:unhideWhenUsed/>
    <w:qFormat/>
    <w:uiPriority w:val="99"/>
    <w:rPr>
      <w:i/>
      <w:color w:val="23527C"/>
      <w:sz w:val="20"/>
      <w:szCs w:val="20"/>
      <w:u w:val="none"/>
    </w:rPr>
  </w:style>
  <w:style w:type="character" w:styleId="33">
    <w:name w:val="Hyperlink"/>
    <w:basedOn w:val="29"/>
    <w:unhideWhenUsed/>
    <w:qFormat/>
    <w:uiPriority w:val="99"/>
    <w:rPr>
      <w:color w:val="337AB7"/>
      <w:u w:val="none"/>
    </w:rPr>
  </w:style>
  <w:style w:type="character" w:styleId="34">
    <w:name w:val="HTML Code"/>
    <w:basedOn w:val="29"/>
    <w:unhideWhenUsed/>
    <w:qFormat/>
    <w:uiPriority w:val="99"/>
    <w:rPr>
      <w:rFonts w:hint="default" w:ascii="Menlo" w:hAnsi="Menlo" w:eastAsia="Menlo" w:cs="Menlo"/>
      <w:color w:val="C7254E"/>
      <w:sz w:val="21"/>
      <w:szCs w:val="21"/>
      <w:shd w:val="clear" w:color="auto" w:fill="F9F2F4"/>
    </w:rPr>
  </w:style>
  <w:style w:type="character" w:styleId="35">
    <w:name w:val="annotation reference"/>
    <w:basedOn w:val="29"/>
    <w:unhideWhenUsed/>
    <w:qFormat/>
    <w:uiPriority w:val="99"/>
    <w:rPr>
      <w:sz w:val="21"/>
      <w:szCs w:val="21"/>
    </w:rPr>
  </w:style>
  <w:style w:type="character" w:styleId="36">
    <w:name w:val="footnote reference"/>
    <w:basedOn w:val="29"/>
    <w:unhideWhenUsed/>
    <w:qFormat/>
    <w:uiPriority w:val="99"/>
    <w:rPr>
      <w:vertAlign w:val="superscript"/>
    </w:rPr>
  </w:style>
  <w:style w:type="character" w:styleId="37">
    <w:name w:val="HTML Keyboard"/>
    <w:basedOn w:val="29"/>
    <w:unhideWhenUsed/>
    <w:qFormat/>
    <w:uiPriority w:val="99"/>
    <w:rPr>
      <w:rFonts w:hint="default" w:ascii="Menlo" w:hAnsi="Menlo" w:eastAsia="Menlo" w:cs="Menlo"/>
      <w:color w:val="FFFFFF"/>
      <w:sz w:val="21"/>
      <w:szCs w:val="21"/>
      <w:shd w:val="clear" w:color="auto" w:fill="333333"/>
    </w:rPr>
  </w:style>
  <w:style w:type="character" w:styleId="38">
    <w:name w:val="HTML Sample"/>
    <w:basedOn w:val="29"/>
    <w:unhideWhenUsed/>
    <w:qFormat/>
    <w:uiPriority w:val="99"/>
    <w:rPr>
      <w:rFonts w:ascii="Menlo" w:hAnsi="Menlo" w:eastAsia="Menlo" w:cs="Menlo"/>
      <w:sz w:val="21"/>
      <w:szCs w:val="21"/>
    </w:rPr>
  </w:style>
  <w:style w:type="character" w:customStyle="1" w:styleId="39">
    <w:name w:val="页眉 Char"/>
    <w:basedOn w:val="29"/>
    <w:link w:val="16"/>
    <w:semiHidden/>
    <w:qFormat/>
    <w:uiPriority w:val="99"/>
    <w:rPr>
      <w:sz w:val="18"/>
      <w:szCs w:val="18"/>
    </w:rPr>
  </w:style>
  <w:style w:type="character" w:customStyle="1" w:styleId="40">
    <w:name w:val="页脚 Char"/>
    <w:basedOn w:val="29"/>
    <w:link w:val="15"/>
    <w:qFormat/>
    <w:uiPriority w:val="99"/>
    <w:rPr>
      <w:sz w:val="18"/>
      <w:szCs w:val="18"/>
    </w:rPr>
  </w:style>
  <w:style w:type="character" w:customStyle="1" w:styleId="41">
    <w:name w:val="标题 1 Char"/>
    <w:basedOn w:val="29"/>
    <w:link w:val="2"/>
    <w:qFormat/>
    <w:uiPriority w:val="9"/>
    <w:rPr>
      <w:rFonts w:ascii="Calibri" w:hAnsi="Calibri" w:eastAsia="仿宋_GB2312" w:cs="Times New Roman"/>
      <w:b/>
      <w:bCs/>
      <w:kern w:val="44"/>
      <w:sz w:val="28"/>
      <w:szCs w:val="44"/>
    </w:rPr>
  </w:style>
  <w:style w:type="character" w:customStyle="1" w:styleId="42">
    <w:name w:val="标题 2 Char"/>
    <w:basedOn w:val="29"/>
    <w:link w:val="3"/>
    <w:qFormat/>
    <w:uiPriority w:val="9"/>
    <w:rPr>
      <w:rFonts w:ascii="Cambria" w:hAnsi="Cambria" w:eastAsia="仿宋_GB2312" w:cs="Times New Roman"/>
      <w:b/>
      <w:bCs/>
      <w:sz w:val="28"/>
      <w:szCs w:val="32"/>
    </w:rPr>
  </w:style>
  <w:style w:type="character" w:customStyle="1" w:styleId="43">
    <w:name w:val="标题 3 Char"/>
    <w:basedOn w:val="29"/>
    <w:link w:val="4"/>
    <w:qFormat/>
    <w:uiPriority w:val="9"/>
    <w:rPr>
      <w:rFonts w:ascii="Calibri" w:hAnsi="Calibri" w:eastAsia="宋体" w:cs="Times New Roman"/>
      <w:b/>
      <w:bCs/>
      <w:sz w:val="32"/>
      <w:szCs w:val="32"/>
    </w:rPr>
  </w:style>
  <w:style w:type="character" w:customStyle="1" w:styleId="44">
    <w:name w:val="标题 4 Char"/>
    <w:basedOn w:val="29"/>
    <w:link w:val="5"/>
    <w:qFormat/>
    <w:uiPriority w:val="9"/>
    <w:rPr>
      <w:rFonts w:ascii="Cambria" w:hAnsi="Cambria" w:eastAsia="宋体" w:cs="Times New Roman"/>
      <w:b/>
      <w:bCs/>
      <w:sz w:val="28"/>
      <w:szCs w:val="28"/>
    </w:rPr>
  </w:style>
  <w:style w:type="character" w:customStyle="1" w:styleId="45">
    <w:name w:val="标题 5 Char"/>
    <w:basedOn w:val="29"/>
    <w:link w:val="6"/>
    <w:qFormat/>
    <w:uiPriority w:val="9"/>
    <w:rPr>
      <w:rFonts w:ascii="Calibri" w:hAnsi="Calibri" w:eastAsia="宋体" w:cs="Times New Roman"/>
      <w:b/>
      <w:bCs/>
      <w:sz w:val="28"/>
      <w:szCs w:val="28"/>
    </w:rPr>
  </w:style>
  <w:style w:type="character" w:customStyle="1" w:styleId="46">
    <w:name w:val="pt11"/>
    <w:basedOn w:val="29"/>
    <w:qFormat/>
    <w:uiPriority w:val="0"/>
  </w:style>
  <w:style w:type="character" w:customStyle="1" w:styleId="47">
    <w:name w:val="hover35"/>
    <w:basedOn w:val="29"/>
    <w:qFormat/>
    <w:uiPriority w:val="0"/>
    <w:rPr>
      <w:color w:val="999999"/>
      <w:shd w:val="clear" w:color="auto" w:fill="EEEEEE"/>
    </w:rPr>
  </w:style>
  <w:style w:type="character" w:customStyle="1" w:styleId="48">
    <w:name w:val="hover"/>
    <w:basedOn w:val="29"/>
    <w:qFormat/>
    <w:uiPriority w:val="0"/>
    <w:rPr>
      <w:shd w:val="clear" w:color="auto" w:fill="EEEEEE"/>
    </w:rPr>
  </w:style>
  <w:style w:type="character" w:customStyle="1" w:styleId="49">
    <w:name w:val="old"/>
    <w:basedOn w:val="29"/>
    <w:qFormat/>
    <w:uiPriority w:val="0"/>
    <w:rPr>
      <w:color w:val="999999"/>
    </w:rPr>
  </w:style>
  <w:style w:type="character" w:customStyle="1" w:styleId="50">
    <w:name w:val="批注框文本 Char"/>
    <w:basedOn w:val="29"/>
    <w:link w:val="14"/>
    <w:qFormat/>
    <w:uiPriority w:val="99"/>
    <w:rPr>
      <w:sz w:val="18"/>
      <w:szCs w:val="18"/>
    </w:rPr>
  </w:style>
  <w:style w:type="character" w:customStyle="1" w:styleId="51">
    <w:name w:val="脚注文本 Char"/>
    <w:basedOn w:val="29"/>
    <w:link w:val="20"/>
    <w:qFormat/>
    <w:uiPriority w:val="99"/>
    <w:rPr>
      <w:sz w:val="18"/>
      <w:szCs w:val="18"/>
    </w:rPr>
  </w:style>
  <w:style w:type="character" w:customStyle="1" w:styleId="52">
    <w:name w:val="glyphicon4"/>
    <w:basedOn w:val="29"/>
    <w:qFormat/>
    <w:uiPriority w:val="0"/>
  </w:style>
  <w:style w:type="character" w:customStyle="1" w:styleId="53">
    <w:name w:val="old1"/>
    <w:basedOn w:val="29"/>
    <w:qFormat/>
    <w:uiPriority w:val="0"/>
    <w:rPr>
      <w:color w:val="999999"/>
    </w:rPr>
  </w:style>
  <w:style w:type="character" w:customStyle="1" w:styleId="54">
    <w:name w:val="hover33"/>
    <w:basedOn w:val="29"/>
    <w:qFormat/>
    <w:uiPriority w:val="0"/>
    <w:rPr>
      <w:shd w:val="clear" w:color="auto" w:fill="EEEEEE"/>
    </w:rPr>
  </w:style>
  <w:style w:type="character" w:customStyle="1" w:styleId="55">
    <w:name w:val="hover31"/>
    <w:basedOn w:val="29"/>
    <w:qFormat/>
    <w:uiPriority w:val="0"/>
    <w:rPr>
      <w:shd w:val="clear" w:color="auto" w:fill="EEEEEE"/>
    </w:rPr>
  </w:style>
  <w:style w:type="character" w:customStyle="1" w:styleId="56">
    <w:name w:val="input-group-addon"/>
    <w:basedOn w:val="29"/>
    <w:qFormat/>
    <w:uiPriority w:val="0"/>
    <w:rPr>
      <w:sz w:val="21"/>
      <w:szCs w:val="21"/>
    </w:rPr>
  </w:style>
  <w:style w:type="character" w:customStyle="1" w:styleId="57">
    <w:name w:val="last-child"/>
    <w:basedOn w:val="29"/>
    <w:qFormat/>
    <w:uiPriority w:val="0"/>
  </w:style>
  <w:style w:type="character" w:customStyle="1" w:styleId="58">
    <w:name w:val="hover34"/>
    <w:basedOn w:val="29"/>
    <w:qFormat/>
    <w:uiPriority w:val="0"/>
    <w:rPr>
      <w:u w:val="none"/>
    </w:rPr>
  </w:style>
  <w:style w:type="character" w:customStyle="1" w:styleId="59">
    <w:name w:val="first-child4"/>
    <w:basedOn w:val="29"/>
    <w:qFormat/>
    <w:uiPriority w:val="0"/>
    <w:rPr>
      <w:sz w:val="21"/>
      <w:szCs w:val="21"/>
    </w:rPr>
  </w:style>
  <w:style w:type="character" w:customStyle="1" w:styleId="60">
    <w:name w:val="标题 Char"/>
    <w:basedOn w:val="29"/>
    <w:link w:val="25"/>
    <w:qFormat/>
    <w:uiPriority w:val="10"/>
    <w:rPr>
      <w:rFonts w:ascii="Cambria" w:hAnsi="Cambria" w:eastAsia="仿宋_GB2312" w:cs="Times New Roman"/>
      <w:b/>
      <w:bCs/>
      <w:sz w:val="30"/>
      <w:szCs w:val="32"/>
    </w:rPr>
  </w:style>
  <w:style w:type="character" w:customStyle="1" w:styleId="61">
    <w:name w:val="hover2"/>
    <w:basedOn w:val="29"/>
    <w:qFormat/>
    <w:uiPriority w:val="0"/>
    <w:rPr>
      <w:shd w:val="clear" w:color="auto" w:fill="EEEEEE"/>
    </w:rPr>
  </w:style>
  <w:style w:type="character" w:customStyle="1" w:styleId="62">
    <w:name w:val="input-group-addon8"/>
    <w:basedOn w:val="29"/>
    <w:qFormat/>
    <w:uiPriority w:val="0"/>
    <w:rPr>
      <w:sz w:val="21"/>
      <w:szCs w:val="21"/>
    </w:rPr>
  </w:style>
  <w:style w:type="character" w:customStyle="1" w:styleId="63">
    <w:name w:val="new"/>
    <w:basedOn w:val="29"/>
    <w:qFormat/>
    <w:uiPriority w:val="0"/>
    <w:rPr>
      <w:color w:val="999999"/>
    </w:rPr>
  </w:style>
  <w:style w:type="character" w:customStyle="1" w:styleId="64">
    <w:name w:val="fashy"/>
    <w:basedOn w:val="29"/>
    <w:qFormat/>
    <w:uiPriority w:val="0"/>
    <w:rPr>
      <w:b/>
      <w:color w:val="7E7E7E"/>
      <w:sz w:val="21"/>
      <w:szCs w:val="21"/>
    </w:rPr>
  </w:style>
  <w:style w:type="character" w:customStyle="1" w:styleId="65">
    <w:name w:val="last-child3"/>
    <w:basedOn w:val="29"/>
    <w:qFormat/>
    <w:uiPriority w:val="0"/>
  </w:style>
  <w:style w:type="character" w:customStyle="1" w:styleId="66">
    <w:name w:val="last-child2"/>
    <w:basedOn w:val="29"/>
    <w:qFormat/>
    <w:uiPriority w:val="0"/>
  </w:style>
  <w:style w:type="character" w:customStyle="1" w:styleId="67">
    <w:name w:val="hover1"/>
    <w:basedOn w:val="29"/>
    <w:qFormat/>
    <w:uiPriority w:val="0"/>
    <w:rPr>
      <w:u w:val="none"/>
    </w:rPr>
  </w:style>
  <w:style w:type="character" w:customStyle="1" w:styleId="68">
    <w:name w:val="fred"/>
    <w:basedOn w:val="29"/>
    <w:qFormat/>
    <w:uiPriority w:val="0"/>
    <w:rPr>
      <w:b/>
      <w:color w:val="D9534F"/>
      <w:sz w:val="21"/>
      <w:szCs w:val="21"/>
    </w:rPr>
  </w:style>
  <w:style w:type="character" w:customStyle="1" w:styleId="69">
    <w:name w:val="hour_am"/>
    <w:basedOn w:val="29"/>
    <w:uiPriority w:val="0"/>
  </w:style>
  <w:style w:type="character" w:customStyle="1" w:styleId="70">
    <w:name w:val="hover32"/>
    <w:basedOn w:val="29"/>
    <w:qFormat/>
    <w:uiPriority w:val="0"/>
    <w:rPr>
      <w:u w:val="none"/>
    </w:rPr>
  </w:style>
  <w:style w:type="character" w:customStyle="1" w:styleId="71">
    <w:name w:val="last-child1"/>
    <w:basedOn w:val="29"/>
    <w:uiPriority w:val="0"/>
  </w:style>
  <w:style w:type="character" w:customStyle="1" w:styleId="72">
    <w:name w:val="列出段落 Char"/>
    <w:basedOn w:val="29"/>
    <w:link w:val="73"/>
    <w:uiPriority w:val="34"/>
    <w:rPr>
      <w:rFonts w:ascii="Calibri" w:hAnsi="Calibri" w:eastAsia="宋体" w:cs="Times New Roman"/>
    </w:rPr>
  </w:style>
  <w:style w:type="paragraph" w:customStyle="1" w:styleId="73">
    <w:name w:val="列出段落2"/>
    <w:basedOn w:val="1"/>
    <w:link w:val="72"/>
    <w:qFormat/>
    <w:uiPriority w:val="34"/>
    <w:pPr>
      <w:ind w:firstLine="420" w:firstLineChars="200"/>
    </w:pPr>
  </w:style>
  <w:style w:type="character" w:customStyle="1" w:styleId="74">
    <w:name w:val="批注文字 Char1"/>
    <w:basedOn w:val="29"/>
    <w:semiHidden/>
    <w:locked/>
    <w:uiPriority w:val="99"/>
    <w:rPr>
      <w:rFonts w:ascii="Times New Roman" w:hAnsi="Times New Roman"/>
      <w:sz w:val="21"/>
      <w:szCs w:val="21"/>
    </w:rPr>
  </w:style>
  <w:style w:type="character" w:customStyle="1" w:styleId="75">
    <w:name w:val="glyphicon"/>
    <w:basedOn w:val="29"/>
    <w:qFormat/>
    <w:uiPriority w:val="0"/>
  </w:style>
  <w:style w:type="character" w:customStyle="1" w:styleId="76">
    <w:name w:val="批注文字 Char"/>
    <w:basedOn w:val="29"/>
    <w:link w:val="10"/>
    <w:qFormat/>
    <w:uiPriority w:val="99"/>
    <w:rPr>
      <w:rFonts w:ascii="Calibri" w:hAnsi="Calibri" w:eastAsia="宋体" w:cs="Times New Roman"/>
    </w:rPr>
  </w:style>
  <w:style w:type="character" w:customStyle="1" w:styleId="77">
    <w:name w:val="hour_pm"/>
    <w:basedOn w:val="29"/>
    <w:qFormat/>
    <w:uiPriority w:val="0"/>
  </w:style>
  <w:style w:type="character" w:customStyle="1" w:styleId="78">
    <w:name w:val="批注主题 Char"/>
    <w:basedOn w:val="76"/>
    <w:link w:val="26"/>
    <w:qFormat/>
    <w:uiPriority w:val="99"/>
    <w:rPr>
      <w:b/>
      <w:bCs/>
    </w:rPr>
  </w:style>
  <w:style w:type="character" w:customStyle="1" w:styleId="79">
    <w:name w:val="副标题 Char"/>
    <w:basedOn w:val="29"/>
    <w:link w:val="19"/>
    <w:qFormat/>
    <w:uiPriority w:val="11"/>
    <w:rPr>
      <w:rFonts w:ascii="Cambria" w:hAnsi="Cambria" w:eastAsia="仿宋_GB2312" w:cs="Times New Roman"/>
      <w:bCs/>
      <w:kern w:val="28"/>
      <w:sz w:val="28"/>
      <w:szCs w:val="32"/>
    </w:rPr>
  </w:style>
  <w:style w:type="character" w:customStyle="1" w:styleId="80">
    <w:name w:val="文档结构图 Char"/>
    <w:basedOn w:val="29"/>
    <w:link w:val="9"/>
    <w:qFormat/>
    <w:uiPriority w:val="99"/>
    <w:rPr>
      <w:rFonts w:ascii="宋体"/>
      <w:sz w:val="18"/>
      <w:szCs w:val="18"/>
    </w:rPr>
  </w:style>
  <w:style w:type="character" w:customStyle="1" w:styleId="81">
    <w:name w:val="脚注文本 Char1"/>
    <w:basedOn w:val="29"/>
    <w:link w:val="20"/>
    <w:semiHidden/>
    <w:qFormat/>
    <w:uiPriority w:val="99"/>
    <w:rPr>
      <w:rFonts w:ascii="Calibri" w:hAnsi="Calibri" w:eastAsia="宋体" w:cs="Times New Roman"/>
      <w:sz w:val="18"/>
      <w:szCs w:val="18"/>
    </w:rPr>
  </w:style>
  <w:style w:type="character" w:customStyle="1" w:styleId="82">
    <w:name w:val="副标题 Char1"/>
    <w:basedOn w:val="29"/>
    <w:link w:val="19"/>
    <w:qFormat/>
    <w:uiPriority w:val="11"/>
    <w:rPr>
      <w:rFonts w:eastAsia="宋体" w:asciiTheme="majorHAnsi" w:hAnsiTheme="majorHAnsi" w:cstheme="majorBidi"/>
      <w:b/>
      <w:bCs/>
      <w:kern w:val="28"/>
      <w:sz w:val="32"/>
      <w:szCs w:val="32"/>
    </w:rPr>
  </w:style>
  <w:style w:type="character" w:customStyle="1" w:styleId="83">
    <w:name w:val="批注文字 Char2"/>
    <w:basedOn w:val="29"/>
    <w:link w:val="10"/>
    <w:semiHidden/>
    <w:qFormat/>
    <w:uiPriority w:val="99"/>
    <w:rPr>
      <w:rFonts w:ascii="Calibri" w:hAnsi="Calibri" w:eastAsia="宋体" w:cs="Times New Roman"/>
    </w:rPr>
  </w:style>
  <w:style w:type="character" w:customStyle="1" w:styleId="84">
    <w:name w:val="批注主题 Char1"/>
    <w:basedOn w:val="83"/>
    <w:link w:val="26"/>
    <w:semiHidden/>
    <w:qFormat/>
    <w:uiPriority w:val="99"/>
    <w:rPr>
      <w:b/>
      <w:bCs/>
    </w:rPr>
  </w:style>
  <w:style w:type="character" w:customStyle="1" w:styleId="85">
    <w:name w:val="文档结构图 Char1"/>
    <w:basedOn w:val="29"/>
    <w:link w:val="9"/>
    <w:semiHidden/>
    <w:qFormat/>
    <w:uiPriority w:val="99"/>
    <w:rPr>
      <w:rFonts w:ascii="宋体" w:hAnsi="Calibri" w:eastAsia="宋体" w:cs="Times New Roman"/>
      <w:sz w:val="18"/>
      <w:szCs w:val="18"/>
    </w:rPr>
  </w:style>
  <w:style w:type="character" w:customStyle="1" w:styleId="86">
    <w:name w:val="批注框文本 Char1"/>
    <w:basedOn w:val="29"/>
    <w:link w:val="14"/>
    <w:semiHidden/>
    <w:qFormat/>
    <w:uiPriority w:val="99"/>
    <w:rPr>
      <w:rFonts w:ascii="Calibri" w:hAnsi="Calibri" w:eastAsia="宋体" w:cs="Times New Roman"/>
      <w:sz w:val="18"/>
      <w:szCs w:val="18"/>
    </w:rPr>
  </w:style>
  <w:style w:type="character" w:customStyle="1" w:styleId="87">
    <w:name w:val="标题 Char1"/>
    <w:basedOn w:val="29"/>
    <w:link w:val="25"/>
    <w:qFormat/>
    <w:uiPriority w:val="10"/>
    <w:rPr>
      <w:rFonts w:eastAsia="宋体" w:asciiTheme="majorHAnsi" w:hAnsiTheme="majorHAnsi" w:cstheme="majorBidi"/>
      <w:b/>
      <w:bCs/>
      <w:sz w:val="32"/>
      <w:szCs w:val="32"/>
    </w:rPr>
  </w:style>
  <w:style w:type="paragraph" w:customStyle="1" w:styleId="88">
    <w:name w:val="Revision"/>
    <w:unhideWhenUsed/>
    <w:qFormat/>
    <w:uiPriority w:val="99"/>
    <w:pPr>
      <w:jc w:val="both"/>
    </w:pPr>
    <w:rPr>
      <w:rFonts w:ascii="Calibri" w:hAnsi="Calibri" w:eastAsia="宋体" w:cs="Times New Roman"/>
      <w:kern w:val="2"/>
      <w:sz w:val="21"/>
      <w:szCs w:val="22"/>
      <w:lang w:val="en-US" w:eastAsia="zh-CN" w:bidi="ar-SA"/>
    </w:rPr>
  </w:style>
  <w:style w:type="paragraph" w:customStyle="1" w:styleId="89">
    <w:name w:val="列出段落1"/>
    <w:basedOn w:val="1"/>
    <w:qFormat/>
    <w:uiPriority w:val="34"/>
    <w:pPr>
      <w:ind w:firstLine="200" w:firstLineChars="200"/>
    </w:pPr>
  </w:style>
  <w:style w:type="paragraph" w:customStyle="1" w:styleId="90">
    <w:name w:val="TOC Heading"/>
    <w:basedOn w:val="2"/>
    <w:next w:val="1"/>
    <w:qFormat/>
    <w:uiPriority w:val="39"/>
    <w:pPr>
      <w:widowControl/>
      <w:spacing w:before="480" w:after="0" w:line="276" w:lineRule="auto"/>
      <w:outlineLvl w:val="9"/>
    </w:pPr>
    <w:rPr>
      <w:rFonts w:ascii="Cambria" w:hAnsi="Cambria" w:eastAsia="宋体"/>
      <w:color w:val="365F91"/>
      <w:kern w:val="0"/>
      <w:szCs w:val="28"/>
    </w:rPr>
  </w:style>
  <w:style w:type="paragraph" w:customStyle="1" w:styleId="91">
    <w:name w:val="Default"/>
    <w:qFormat/>
    <w:uiPriority w:val="0"/>
    <w:pPr>
      <w:widowControl w:val="0"/>
      <w:autoSpaceDE w:val="0"/>
      <w:autoSpaceDN w:val="0"/>
      <w:adjustRightInd w:val="0"/>
      <w:jc w:val="both"/>
    </w:pPr>
    <w:rPr>
      <w:rFonts w:ascii="宋体" w:hAnsi="Calibri" w:eastAsia="宋体" w:cs="宋体"/>
      <w:color w:val="000000"/>
      <w:kern w:val="0"/>
      <w:sz w:val="24"/>
      <w:szCs w:val="24"/>
      <w:lang w:val="en-US" w:eastAsia="zh-CN" w:bidi="ar-SA"/>
    </w:rPr>
  </w:style>
  <w:style w:type="paragraph" w:styleId="92">
    <w:name w:val="No Spacing"/>
    <w:basedOn w:val="1"/>
    <w:next w:val="1"/>
    <w:qFormat/>
    <w:uiPriority w:val="1"/>
    <w:pPr>
      <w:ind w:firstLine="200" w:firstLineChars="200"/>
      <w:jc w:val="left"/>
    </w:pPr>
    <w:rPr>
      <w:rFonts w:eastAsia="仿宋_GB2312"/>
      <w:sz w:val="28"/>
    </w:rPr>
  </w:style>
  <w:style w:type="paragraph" w:customStyle="1" w:styleId="93">
    <w:name w:val="_Style 3"/>
    <w:basedOn w:val="1"/>
    <w:qFormat/>
    <w:uiPriority w:val="34"/>
    <w:pPr>
      <w:ind w:firstLine="420" w:firstLineChars="200"/>
    </w:pPr>
  </w:style>
  <w:style w:type="paragraph" w:customStyle="1" w:styleId="94">
    <w:name w:val="_Style 1"/>
    <w:basedOn w:val="1"/>
    <w:qFormat/>
    <w:uiPriority w:val="34"/>
    <w:pPr>
      <w:ind w:firstLine="420" w:firstLineChars="200"/>
    </w:pPr>
  </w:style>
  <w:style w:type="paragraph" w:customStyle="1" w:styleId="95">
    <w:name w:val="列出段落3"/>
    <w:basedOn w:val="1"/>
    <w:qFormat/>
    <w:uiPriority w:val="34"/>
    <w:pPr>
      <w:ind w:firstLine="420" w:firstLineChars="200"/>
    </w:pPr>
  </w:style>
  <w:style w:type="paragraph" w:styleId="9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7487</Words>
  <Characters>42680</Characters>
  <Lines>355</Lines>
  <Paragraphs>100</Paragraphs>
  <TotalTime>6</TotalTime>
  <ScaleCrop>false</ScaleCrop>
  <LinksUpToDate>false</LinksUpToDate>
  <CharactersWithSpaces>50067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2020-08-07T02:56:00Z</dcterms:created>
  <dc:creator>zhuweiyu</dc:creator>
  <cp:lastModifiedBy>周强</cp:lastModifiedBy>
  <dcterms:modified xsi:type="dcterms:W3CDTF">2022-09-13T01:29:27Z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37F56A8FE3C0415D98B4DA93FB342C83</vt:lpwstr>
  </property>
</Properties>
</file>