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A6F364" w14:textId="4ED4E7DD" w:rsidR="00660327" w:rsidRDefault="005B45C5">
      <w:pPr>
        <w:pStyle w:val="a4"/>
        <w:spacing w:line="175" w:lineRule="auto"/>
      </w:pPr>
      <w:r w:rsidRPr="005B45C5">
        <w:rPr>
          <w:rFonts w:ascii="宋体" w:eastAsia="PMingLiU" w:hAnsi="宋体" w:cs="宋体" w:hint="eastAsia"/>
          <w:lang w:eastAsia="zh-TW"/>
        </w:rPr>
        <w:t>關于《深圳證券交易所</w:t>
      </w:r>
      <w:r w:rsidRPr="005B45C5">
        <w:rPr>
          <w:rFonts w:eastAsia="PMingLiU" w:hint="eastAsia"/>
          <w:lang w:eastAsia="zh-TW"/>
        </w:rPr>
        <w:t xml:space="preserve"> </w:t>
      </w:r>
      <w:r w:rsidRPr="005B45C5">
        <w:rPr>
          <w:rFonts w:ascii="宋体" w:eastAsia="PMingLiU" w:hAnsi="宋体" w:cs="宋体" w:hint="eastAsia"/>
          <w:lang w:eastAsia="zh-TW"/>
        </w:rPr>
        <w:t>中國證券登記結算有限責任公司境外機構投資者債券交易及登記結算業務實施細則》的起草說明</w:t>
      </w:r>
    </w:p>
    <w:p w14:paraId="60D4123A" w14:textId="77777777" w:rsidR="00660327" w:rsidRDefault="00660327">
      <w:pPr>
        <w:pStyle w:val="a3"/>
        <w:spacing w:before="3"/>
        <w:ind w:left="0"/>
        <w:rPr>
          <w:rFonts w:ascii="Arial Unicode MS"/>
          <w:sz w:val="36"/>
        </w:rPr>
      </w:pPr>
    </w:p>
    <w:p w14:paraId="42CC1F2D" w14:textId="2C5748B9" w:rsidR="00660327" w:rsidRDefault="005B45C5">
      <w:pPr>
        <w:pStyle w:val="a3"/>
        <w:spacing w:line="328" w:lineRule="auto"/>
        <w:ind w:right="268" w:firstLine="640"/>
      </w:pPr>
      <w:r w:rsidRPr="005B45C5">
        <w:rPr>
          <w:rFonts w:eastAsia="PMingLiU" w:hint="eastAsia"/>
          <w:spacing w:val="-22"/>
          <w:lang w:eastAsia="zh-TW"/>
        </w:rPr>
        <w:t>爲深入貫徹黨中央、國務院决策部署，落實《中國人民銀行、</w:t>
      </w:r>
      <w:r w:rsidRPr="005B45C5">
        <w:rPr>
          <w:rFonts w:eastAsia="PMingLiU" w:hint="eastAsia"/>
          <w:spacing w:val="-13"/>
          <w:lang w:eastAsia="zh-TW"/>
        </w:rPr>
        <w:t>中國證監會和國家外匯管理局聯合公告〔</w:t>
      </w:r>
      <w:r w:rsidRPr="005B45C5">
        <w:rPr>
          <w:rFonts w:eastAsia="PMingLiU"/>
          <w:lang w:eastAsia="zh-TW"/>
        </w:rPr>
        <w:t>2022</w:t>
      </w:r>
      <w:r w:rsidRPr="005B45C5">
        <w:rPr>
          <w:rFonts w:eastAsia="PMingLiU" w:hint="eastAsia"/>
          <w:spacing w:val="-21"/>
          <w:lang w:eastAsia="zh-TW"/>
        </w:rPr>
        <w:t>〕第</w:t>
      </w:r>
      <w:r w:rsidRPr="005B45C5">
        <w:rPr>
          <w:rFonts w:eastAsia="PMingLiU"/>
          <w:spacing w:val="-21"/>
          <w:lang w:eastAsia="zh-TW"/>
        </w:rPr>
        <w:t xml:space="preserve"> </w:t>
      </w:r>
      <w:r w:rsidRPr="005B45C5">
        <w:rPr>
          <w:rFonts w:eastAsia="PMingLiU"/>
          <w:lang w:eastAsia="zh-TW"/>
        </w:rPr>
        <w:t>4</w:t>
      </w:r>
      <w:r w:rsidRPr="005B45C5">
        <w:rPr>
          <w:rFonts w:eastAsia="PMingLiU"/>
          <w:spacing w:val="-75"/>
          <w:lang w:eastAsia="zh-TW"/>
        </w:rPr>
        <w:t xml:space="preserve"> </w:t>
      </w:r>
      <w:r w:rsidRPr="005B45C5">
        <w:rPr>
          <w:rFonts w:eastAsia="PMingLiU" w:hint="eastAsia"/>
          <w:spacing w:val="-75"/>
          <w:lang w:eastAsia="zh-TW"/>
        </w:rPr>
        <w:t>號》</w:t>
      </w:r>
      <w:r w:rsidRPr="005B45C5">
        <w:rPr>
          <w:rFonts w:eastAsia="PMingLiU" w:hint="eastAsia"/>
          <w:lang w:eastAsia="zh-TW"/>
        </w:rPr>
        <w:t>（以下</w:t>
      </w:r>
      <w:r w:rsidRPr="005B45C5">
        <w:rPr>
          <w:rFonts w:eastAsia="PMingLiU" w:hint="eastAsia"/>
          <w:spacing w:val="-27"/>
          <w:lang w:eastAsia="zh-TW"/>
        </w:rPr>
        <w:t>簡稱《公告》</w:t>
      </w:r>
      <w:r w:rsidRPr="005B45C5">
        <w:rPr>
          <w:rFonts w:eastAsia="PMingLiU" w:hint="eastAsia"/>
          <w:spacing w:val="5"/>
          <w:lang w:eastAsia="zh-TW"/>
        </w:rPr>
        <w:t>）</w:t>
      </w:r>
      <w:r w:rsidRPr="005B45C5">
        <w:rPr>
          <w:rFonts w:eastAsia="PMingLiU" w:hint="eastAsia"/>
          <w:lang w:eastAsia="zh-TW"/>
        </w:rPr>
        <w:t>精神，進一步推動交易所債券市場對外開放，便利境外機構投資者投資，深圳證券交易所（以下簡稱深交所</w:t>
      </w:r>
      <w:r w:rsidRPr="005B45C5">
        <w:rPr>
          <w:rFonts w:eastAsia="PMingLiU" w:hint="eastAsia"/>
          <w:spacing w:val="4"/>
          <w:lang w:eastAsia="zh-TW"/>
        </w:rPr>
        <w:t>）</w:t>
      </w:r>
      <w:r w:rsidRPr="005B45C5">
        <w:rPr>
          <w:rFonts w:eastAsia="PMingLiU" w:hint="eastAsia"/>
          <w:lang w:eastAsia="zh-TW"/>
        </w:rPr>
        <w:t>、</w:t>
      </w:r>
      <w:r w:rsidRPr="005B45C5">
        <w:rPr>
          <w:rFonts w:eastAsia="PMingLiU" w:hint="eastAsia"/>
          <w:spacing w:val="-11"/>
          <w:lang w:eastAsia="zh-TW"/>
        </w:rPr>
        <w:t>中國證券登記結算有限責任公司</w:t>
      </w:r>
      <w:r w:rsidRPr="005B45C5">
        <w:rPr>
          <w:rFonts w:eastAsia="PMingLiU" w:hint="eastAsia"/>
          <w:lang w:eastAsia="zh-TW"/>
        </w:rPr>
        <w:t>（以下簡稱中國結算</w:t>
      </w:r>
      <w:r w:rsidRPr="005B45C5">
        <w:rPr>
          <w:rFonts w:eastAsia="PMingLiU" w:hint="eastAsia"/>
          <w:spacing w:val="-145"/>
          <w:lang w:eastAsia="zh-TW"/>
        </w:rPr>
        <w:t>）</w:t>
      </w:r>
      <w:r w:rsidRPr="005B45C5">
        <w:rPr>
          <w:rFonts w:eastAsia="PMingLiU" w:hint="eastAsia"/>
          <w:spacing w:val="-29"/>
          <w:lang w:eastAsia="zh-TW"/>
        </w:rPr>
        <w:t>起草了《深</w:t>
      </w:r>
      <w:r w:rsidRPr="005B45C5">
        <w:rPr>
          <w:rFonts w:eastAsia="PMingLiU" w:hint="eastAsia"/>
          <w:spacing w:val="-14"/>
          <w:lang w:eastAsia="zh-TW"/>
        </w:rPr>
        <w:t>圳證券交易所</w:t>
      </w:r>
      <w:r w:rsidRPr="005B45C5">
        <w:rPr>
          <w:rFonts w:eastAsia="PMingLiU"/>
          <w:spacing w:val="-14"/>
          <w:lang w:eastAsia="zh-TW"/>
        </w:rPr>
        <w:t xml:space="preserve"> </w:t>
      </w:r>
      <w:r w:rsidRPr="005B45C5">
        <w:rPr>
          <w:rFonts w:eastAsia="PMingLiU" w:hint="eastAsia"/>
          <w:spacing w:val="-14"/>
          <w:lang w:eastAsia="zh-TW"/>
        </w:rPr>
        <w:t>中國證券登記結算有限責任公司境外機構投資者</w:t>
      </w:r>
      <w:r w:rsidRPr="005B45C5">
        <w:rPr>
          <w:rFonts w:eastAsia="PMingLiU" w:hint="eastAsia"/>
          <w:spacing w:val="-24"/>
          <w:lang w:eastAsia="zh-TW"/>
        </w:rPr>
        <w:t>債券交易及登記結算業務實施細則》</w:t>
      </w:r>
      <w:r w:rsidRPr="005B45C5">
        <w:rPr>
          <w:rFonts w:eastAsia="PMingLiU" w:hint="eastAsia"/>
          <w:lang w:eastAsia="zh-TW"/>
        </w:rPr>
        <w:t>（</w:t>
      </w:r>
      <w:r w:rsidRPr="005B45C5">
        <w:rPr>
          <w:rFonts w:eastAsia="PMingLiU" w:hint="eastAsia"/>
          <w:spacing w:val="-19"/>
          <w:lang w:eastAsia="zh-TW"/>
        </w:rPr>
        <w:t>以下簡稱《實施細則》</w:t>
      </w:r>
      <w:r w:rsidRPr="005B45C5">
        <w:rPr>
          <w:rFonts w:eastAsia="PMingLiU" w:hint="eastAsia"/>
          <w:spacing w:val="-84"/>
          <w:lang w:eastAsia="zh-TW"/>
        </w:rPr>
        <w:t>）</w:t>
      </w:r>
      <w:r w:rsidRPr="005B45C5">
        <w:rPr>
          <w:rFonts w:eastAsia="PMingLiU" w:hint="eastAsia"/>
          <w:lang w:eastAsia="zh-TW"/>
        </w:rPr>
        <w:t>。</w:t>
      </w:r>
    </w:p>
    <w:p w14:paraId="2BD4CE9A" w14:textId="73AD16CD" w:rsidR="00660327" w:rsidRDefault="005B45C5">
      <w:pPr>
        <w:pStyle w:val="a3"/>
        <w:spacing w:line="398" w:lineRule="exact"/>
        <w:ind w:left="750"/>
      </w:pPr>
      <w:r w:rsidRPr="005B45C5">
        <w:rPr>
          <w:rFonts w:eastAsia="PMingLiU" w:hint="eastAsia"/>
          <w:lang w:eastAsia="zh-TW"/>
        </w:rPr>
        <w:t>一、起草背景與過程</w:t>
      </w:r>
    </w:p>
    <w:p w14:paraId="1E06A7D7" w14:textId="5784DB31" w:rsidR="00660327" w:rsidRDefault="005B45C5">
      <w:pPr>
        <w:pStyle w:val="a3"/>
        <w:spacing w:before="149" w:line="328" w:lineRule="auto"/>
        <w:ind w:right="432" w:firstLine="640"/>
        <w:jc w:val="both"/>
      </w:pPr>
      <w:r w:rsidRPr="005B45C5">
        <w:rPr>
          <w:rFonts w:eastAsia="PMingLiU" w:hint="eastAsia"/>
          <w:spacing w:val="-9"/>
          <w:lang w:eastAsia="zh-TW"/>
        </w:rPr>
        <w:t>近年來交易所債券市場發展迅速，境外機構投資者也對交易所債券市場有較大的投資需求。在債券市場日益開放互聯、投資</w:t>
      </w:r>
      <w:r w:rsidRPr="005B45C5">
        <w:rPr>
          <w:rFonts w:eastAsia="PMingLiU" w:hint="eastAsia"/>
          <w:spacing w:val="-8"/>
          <w:lang w:eastAsia="zh-TW"/>
        </w:rPr>
        <w:t>者類型與交易方式日趨多樣化的背景下，建立境外機構投資者入</w:t>
      </w:r>
      <w:r w:rsidRPr="005B45C5">
        <w:rPr>
          <w:rFonts w:eastAsia="PMingLiU" w:hint="eastAsia"/>
          <w:spacing w:val="-7"/>
          <w:lang w:eastAsia="zh-TW"/>
        </w:rPr>
        <w:t>市制度有利于提升投資者參與債券交易便利性、健全多元化投資</w:t>
      </w:r>
      <w:r w:rsidRPr="005B45C5">
        <w:rPr>
          <w:rFonts w:eastAsia="PMingLiU" w:hint="eastAsia"/>
          <w:spacing w:val="-12"/>
          <w:lang w:eastAsia="zh-TW"/>
        </w:rPr>
        <w:t>者隊伍、提升債券市場的流動性與穩健性，也有利于統籌利用國</w:t>
      </w:r>
      <w:r w:rsidRPr="005B45C5">
        <w:rPr>
          <w:rFonts w:eastAsia="PMingLiU" w:hint="eastAsia"/>
          <w:lang w:eastAsia="zh-TW"/>
        </w:rPr>
        <w:t>內國際兩個市場兩種資源，更好服務實體經濟。</w:t>
      </w:r>
    </w:p>
    <w:p w14:paraId="006197EF" w14:textId="161F65D3" w:rsidR="00660327" w:rsidRDefault="005B45C5">
      <w:pPr>
        <w:pStyle w:val="a3"/>
        <w:spacing w:line="328" w:lineRule="auto"/>
        <w:ind w:right="430" w:firstLine="640"/>
      </w:pPr>
      <w:r w:rsidRPr="005B45C5">
        <w:rPr>
          <w:rFonts w:eastAsia="PMingLiU" w:hint="eastAsia"/>
          <w:spacing w:val="-12"/>
          <w:lang w:eastAsia="zh-TW"/>
        </w:rPr>
        <w:t>深交所、中國結算在《公告》規定的</w:t>
      </w:r>
      <w:r w:rsidRPr="005B45C5">
        <w:rPr>
          <w:rFonts w:eastAsia="PMingLiU"/>
          <w:spacing w:val="-12"/>
          <w:lang w:eastAsia="zh-TW"/>
        </w:rPr>
        <w:t>“</w:t>
      </w:r>
      <w:r w:rsidRPr="005B45C5">
        <w:rPr>
          <w:rFonts w:eastAsia="PMingLiU" w:hint="eastAsia"/>
          <w:spacing w:val="-12"/>
          <w:lang w:eastAsia="zh-TW"/>
        </w:rPr>
        <w:t>獲准進入銀行間債券</w:t>
      </w:r>
      <w:r w:rsidRPr="005B45C5">
        <w:rPr>
          <w:rFonts w:eastAsia="PMingLiU" w:hint="eastAsia"/>
          <w:spacing w:val="6"/>
          <w:w w:val="95"/>
          <w:lang w:eastAsia="zh-TW"/>
        </w:rPr>
        <w:t>市場的境外機構投資者可以直接或通過互聯互通方式投資交易</w:t>
      </w:r>
    </w:p>
    <w:p w14:paraId="3B0E6179" w14:textId="77777777" w:rsidR="00660327" w:rsidRDefault="00660327">
      <w:pPr>
        <w:spacing w:line="328" w:lineRule="auto"/>
        <w:sectPr w:rsidR="00660327">
          <w:footerReference w:type="even" r:id="rId6"/>
          <w:footerReference w:type="default" r:id="rId7"/>
          <w:type w:val="continuous"/>
          <w:pgSz w:w="11910" w:h="16840"/>
          <w:pgMar w:top="1580" w:right="1040" w:bottom="1200" w:left="1480" w:header="720" w:footer="995" w:gutter="0"/>
          <w:pgNumType w:start="1"/>
          <w:cols w:space="720"/>
        </w:sectPr>
      </w:pPr>
    </w:p>
    <w:p w14:paraId="31BE3AE6" w14:textId="77777777" w:rsidR="00660327" w:rsidRDefault="00660327">
      <w:pPr>
        <w:pStyle w:val="a3"/>
        <w:ind w:left="0"/>
        <w:rPr>
          <w:sz w:val="20"/>
        </w:rPr>
      </w:pPr>
    </w:p>
    <w:p w14:paraId="69E6468B" w14:textId="77777777" w:rsidR="00660327" w:rsidRDefault="00660327">
      <w:pPr>
        <w:pStyle w:val="a3"/>
        <w:spacing w:before="10"/>
        <w:ind w:left="0"/>
        <w:rPr>
          <w:sz w:val="24"/>
        </w:rPr>
      </w:pPr>
    </w:p>
    <w:p w14:paraId="422D3D27" w14:textId="7CA00D71" w:rsidR="00660327" w:rsidRDefault="005B45C5">
      <w:pPr>
        <w:pStyle w:val="a3"/>
        <w:spacing w:before="54" w:line="328" w:lineRule="auto"/>
        <w:ind w:right="430"/>
        <w:jc w:val="both"/>
      </w:pPr>
      <w:r w:rsidRPr="005B45C5">
        <w:rPr>
          <w:rFonts w:eastAsia="PMingLiU" w:hint="eastAsia"/>
          <w:spacing w:val="-11"/>
          <w:lang w:eastAsia="zh-TW"/>
        </w:rPr>
        <w:t>所債券市場</w:t>
      </w:r>
      <w:r w:rsidRPr="005B45C5">
        <w:rPr>
          <w:rFonts w:eastAsia="PMingLiU"/>
          <w:spacing w:val="-11"/>
          <w:lang w:eastAsia="zh-TW"/>
        </w:rPr>
        <w:t>”</w:t>
      </w:r>
      <w:r w:rsidRPr="005B45C5">
        <w:rPr>
          <w:rFonts w:eastAsia="PMingLiU" w:hint="eastAsia"/>
          <w:spacing w:val="-11"/>
          <w:lang w:eastAsia="zh-TW"/>
        </w:rPr>
        <w:t>的框架下，起草了《實施細則》，對境外機構投資</w:t>
      </w:r>
      <w:r w:rsidRPr="005B45C5">
        <w:rPr>
          <w:rFonts w:eastAsia="PMingLiU" w:hint="eastAsia"/>
          <w:spacing w:val="-8"/>
          <w:lang w:eastAsia="zh-TW"/>
        </w:rPr>
        <w:t>者參與深市債券交易及委托安排、證券賬戶及登記結算、自律監</w:t>
      </w:r>
      <w:r w:rsidRPr="005B45C5">
        <w:rPr>
          <w:rFonts w:eastAsia="PMingLiU" w:hint="eastAsia"/>
          <w:lang w:eastAsia="zh-TW"/>
        </w:rPr>
        <w:t>管等事項進行細化規範。</w:t>
      </w:r>
    </w:p>
    <w:p w14:paraId="5C8FE845" w14:textId="1B5AA6E2" w:rsidR="00660327" w:rsidRDefault="005B45C5">
      <w:pPr>
        <w:pStyle w:val="a3"/>
        <w:spacing w:line="405" w:lineRule="exact"/>
        <w:ind w:left="750"/>
      </w:pPr>
      <w:r w:rsidRPr="005B45C5">
        <w:rPr>
          <w:rFonts w:eastAsia="PMingLiU" w:hint="eastAsia"/>
          <w:lang w:eastAsia="zh-TW"/>
        </w:rPr>
        <w:t>二、主要內容</w:t>
      </w:r>
    </w:p>
    <w:p w14:paraId="17CE7683" w14:textId="25A71E6E" w:rsidR="00660327" w:rsidRDefault="005B45C5">
      <w:pPr>
        <w:pStyle w:val="a3"/>
        <w:spacing w:before="150"/>
        <w:ind w:left="750"/>
      </w:pPr>
      <w:r w:rsidRPr="005B45C5">
        <w:rPr>
          <w:rFonts w:eastAsia="PMingLiU" w:hint="eastAsia"/>
          <w:lang w:eastAsia="zh-TW"/>
        </w:rPr>
        <w:t>《實施細則》共七章二十三條，主要內容包括七個方面：</w:t>
      </w:r>
    </w:p>
    <w:p w14:paraId="66A53217" w14:textId="19620B53" w:rsidR="00660327" w:rsidRDefault="005B45C5">
      <w:pPr>
        <w:pStyle w:val="a3"/>
        <w:spacing w:before="151" w:line="328" w:lineRule="auto"/>
        <w:ind w:right="277" w:firstLine="640"/>
      </w:pPr>
      <w:r w:rsidRPr="005B45C5">
        <w:rPr>
          <w:rFonts w:eastAsia="PMingLiU" w:hint="eastAsia"/>
          <w:lang w:eastAsia="zh-TW"/>
        </w:rPr>
        <w:t>（一）原則性規定。第一條至四條對《實施細則》的制定依據、適用範圍、托管交易結算機構定義、法律適用進行了規定。</w:t>
      </w:r>
    </w:p>
    <w:p w14:paraId="6A7F8687" w14:textId="64AC27E7" w:rsidR="00660327" w:rsidRDefault="005B45C5">
      <w:pPr>
        <w:pStyle w:val="a3"/>
        <w:spacing w:line="328" w:lineRule="auto"/>
        <w:ind w:right="430" w:firstLine="640"/>
      </w:pPr>
      <w:r w:rsidRPr="005B45C5">
        <w:rPr>
          <w:rFonts w:eastAsia="PMingLiU" w:hint="eastAsia"/>
          <w:lang w:eastAsia="zh-TW"/>
        </w:rPr>
        <w:t>（二</w:t>
      </w:r>
      <w:r w:rsidRPr="005B45C5">
        <w:rPr>
          <w:rFonts w:eastAsia="PMingLiU" w:hint="eastAsia"/>
          <w:spacing w:val="-58"/>
          <w:lang w:eastAsia="zh-TW"/>
        </w:rPr>
        <w:t>）</w:t>
      </w:r>
      <w:r w:rsidRPr="005B45C5">
        <w:rPr>
          <w:rFonts w:eastAsia="PMingLiU" w:hint="eastAsia"/>
          <w:spacing w:val="-9"/>
          <w:lang w:eastAsia="zh-TW"/>
        </w:rPr>
        <w:t>信息報送要求。第五條至七條參考合格境外機構投資</w:t>
      </w:r>
      <w:r w:rsidRPr="005B45C5">
        <w:rPr>
          <w:rFonts w:eastAsia="PMingLiU" w:hint="eastAsia"/>
          <w:lang w:eastAsia="zh-TW"/>
        </w:rPr>
        <w:t>者的相關規定，對托管人信息報送工作要求進行了規定。</w:t>
      </w:r>
    </w:p>
    <w:p w14:paraId="3958D1A5" w14:textId="1C45C8BA" w:rsidR="00660327" w:rsidRDefault="005B45C5">
      <w:pPr>
        <w:pStyle w:val="a3"/>
        <w:spacing w:line="328" w:lineRule="auto"/>
        <w:ind w:right="270" w:firstLine="640"/>
      </w:pPr>
      <w:r w:rsidRPr="005B45C5">
        <w:rPr>
          <w:rFonts w:eastAsia="PMingLiU" w:hint="eastAsia"/>
          <w:lang w:eastAsia="zh-TW"/>
        </w:rPr>
        <w:t>（三</w:t>
      </w:r>
      <w:r w:rsidRPr="005B45C5">
        <w:rPr>
          <w:rFonts w:eastAsia="PMingLiU" w:hint="eastAsia"/>
          <w:spacing w:val="-140"/>
          <w:lang w:eastAsia="zh-TW"/>
        </w:rPr>
        <w:t>）</w:t>
      </w:r>
      <w:r w:rsidRPr="005B45C5">
        <w:rPr>
          <w:rFonts w:eastAsia="PMingLiU" w:hint="eastAsia"/>
          <w:spacing w:val="-13"/>
          <w:lang w:eastAsia="zh-TW"/>
        </w:rPr>
        <w:t>交易管理。第八條至九條對境外機構投資者參與交易、</w:t>
      </w:r>
      <w:r w:rsidRPr="005B45C5">
        <w:rPr>
          <w:rFonts w:eastAsia="PMingLiU" w:hint="eastAsia"/>
          <w:spacing w:val="-11"/>
          <w:lang w:eastAsia="zh-TW"/>
        </w:rPr>
        <w:t>代理委托進行規定，明確了交易參與人對作爲其經紀客戶的境外機構投資者應承擔的管理職責。</w:t>
      </w:r>
    </w:p>
    <w:p w14:paraId="1F6F704C" w14:textId="3F7B4FE1" w:rsidR="00660327" w:rsidRDefault="005B45C5">
      <w:pPr>
        <w:pStyle w:val="a3"/>
        <w:spacing w:line="328" w:lineRule="auto"/>
        <w:ind w:right="432" w:firstLine="640"/>
        <w:jc w:val="both"/>
      </w:pPr>
      <w:r w:rsidRPr="005B45C5">
        <w:rPr>
          <w:rFonts w:eastAsia="PMingLiU" w:hint="eastAsia"/>
          <w:lang w:eastAsia="zh-TW"/>
        </w:rPr>
        <w:t>（四</w:t>
      </w:r>
      <w:r w:rsidRPr="005B45C5">
        <w:rPr>
          <w:rFonts w:eastAsia="PMingLiU" w:hint="eastAsia"/>
          <w:spacing w:val="-58"/>
          <w:lang w:eastAsia="zh-TW"/>
        </w:rPr>
        <w:t>）</w:t>
      </w:r>
      <w:r w:rsidRPr="005B45C5">
        <w:rPr>
          <w:rFonts w:eastAsia="PMingLiU" w:hint="eastAsia"/>
          <w:spacing w:val="-9"/>
          <w:lang w:eastAsia="zh-TW"/>
        </w:rPr>
        <w:t>投資運作。第十條至十二條規定了境外機構投資者在</w:t>
      </w:r>
      <w:r w:rsidRPr="005B45C5">
        <w:rPr>
          <w:rFonts w:eastAsia="PMingLiU" w:hint="eastAsia"/>
          <w:spacing w:val="-8"/>
          <w:lang w:eastAsia="zh-TW"/>
        </w:rPr>
        <w:t>交易所債券市場開展交易的投資範圍，同時就轉股換股、投資産</w:t>
      </w:r>
      <w:r w:rsidRPr="005B45C5">
        <w:rPr>
          <w:rFonts w:eastAsia="PMingLiU" w:hint="eastAsia"/>
          <w:lang w:eastAsia="zh-TW"/>
        </w:rPr>
        <w:t>品管理等特殊安排進行了明確。</w:t>
      </w:r>
    </w:p>
    <w:p w14:paraId="1133E6C8" w14:textId="5FD12BF4" w:rsidR="00660327" w:rsidRDefault="005B45C5">
      <w:pPr>
        <w:pStyle w:val="a3"/>
        <w:spacing w:line="326" w:lineRule="auto"/>
        <w:ind w:right="268" w:firstLine="640"/>
      </w:pPr>
      <w:r w:rsidRPr="005B45C5">
        <w:rPr>
          <w:rFonts w:eastAsia="PMingLiU" w:hint="eastAsia"/>
          <w:lang w:eastAsia="zh-TW"/>
        </w:rPr>
        <w:t>（五</w:t>
      </w:r>
      <w:r w:rsidRPr="005B45C5">
        <w:rPr>
          <w:rFonts w:eastAsia="PMingLiU" w:hint="eastAsia"/>
          <w:spacing w:val="-58"/>
          <w:lang w:eastAsia="zh-TW"/>
        </w:rPr>
        <w:t>）</w:t>
      </w:r>
      <w:r w:rsidRPr="005B45C5">
        <w:rPr>
          <w:rFonts w:eastAsia="PMingLiU" w:hint="eastAsia"/>
          <w:spacing w:val="-8"/>
          <w:lang w:eastAsia="zh-TW"/>
        </w:rPr>
        <w:t>登記結算。第十三條至十六條規定了境外機構投資者</w:t>
      </w:r>
      <w:r w:rsidRPr="005B45C5">
        <w:rPr>
          <w:rFonts w:eastAsia="PMingLiU" w:hint="eastAsia"/>
          <w:spacing w:val="-20"/>
          <w:w w:val="95"/>
          <w:lang w:eastAsia="zh-TW"/>
        </w:rPr>
        <w:t>在中國結算開立證券賬戶、登記、結算及雙向劃轉的原則性要求。</w:t>
      </w:r>
    </w:p>
    <w:p w14:paraId="0F2951F6" w14:textId="69A562CD" w:rsidR="00660327" w:rsidRDefault="005B45C5">
      <w:pPr>
        <w:pStyle w:val="a3"/>
        <w:spacing w:line="326" w:lineRule="auto"/>
        <w:ind w:right="110" w:firstLine="640"/>
      </w:pPr>
      <w:r w:rsidRPr="005B45C5">
        <w:rPr>
          <w:rFonts w:eastAsia="PMingLiU" w:hint="eastAsia"/>
          <w:lang w:eastAsia="zh-TW"/>
        </w:rPr>
        <w:t>（六</w:t>
      </w:r>
      <w:r w:rsidRPr="005B45C5">
        <w:rPr>
          <w:rFonts w:eastAsia="PMingLiU" w:hint="eastAsia"/>
          <w:spacing w:val="-58"/>
          <w:lang w:eastAsia="zh-TW"/>
        </w:rPr>
        <w:t>）</w:t>
      </w:r>
      <w:r w:rsidRPr="005B45C5">
        <w:rPr>
          <w:rFonts w:eastAsia="PMingLiU" w:hint="eastAsia"/>
          <w:spacing w:val="-6"/>
          <w:lang w:eastAsia="zh-TW"/>
        </w:rPr>
        <w:t>境外機構投資者管理。第十七條至十八條規定了對境</w:t>
      </w:r>
      <w:r w:rsidRPr="005B45C5">
        <w:rPr>
          <w:rFonts w:eastAsia="PMingLiU"/>
          <w:spacing w:val="-6"/>
          <w:lang w:eastAsia="zh-TW"/>
        </w:rPr>
        <w:t xml:space="preserve"> </w:t>
      </w:r>
      <w:r w:rsidRPr="005B45C5">
        <w:rPr>
          <w:rFonts w:eastAsia="PMingLiU" w:hint="eastAsia"/>
          <w:spacing w:val="-14"/>
          <w:w w:val="95"/>
          <w:lang w:eastAsia="zh-TW"/>
        </w:rPr>
        <w:t>外機構投資者或者其産品投資人、中介機構實行自律監管的要求。</w:t>
      </w:r>
    </w:p>
    <w:p w14:paraId="3F3A12E6" w14:textId="7796FCEF" w:rsidR="00660327" w:rsidRDefault="005B45C5">
      <w:pPr>
        <w:pStyle w:val="a3"/>
        <w:spacing w:line="328" w:lineRule="auto"/>
        <w:ind w:right="271" w:firstLine="640"/>
      </w:pPr>
      <w:r w:rsidRPr="005B45C5">
        <w:rPr>
          <w:rFonts w:eastAsia="PMingLiU" w:hint="eastAsia"/>
          <w:lang w:eastAsia="zh-TW"/>
        </w:rPr>
        <w:t>（七</w:t>
      </w:r>
      <w:r w:rsidRPr="005B45C5">
        <w:rPr>
          <w:rFonts w:eastAsia="PMingLiU" w:hint="eastAsia"/>
          <w:spacing w:val="-58"/>
          <w:lang w:eastAsia="zh-TW"/>
        </w:rPr>
        <w:t>）</w:t>
      </w:r>
      <w:r w:rsidRPr="005B45C5">
        <w:rPr>
          <w:rFonts w:eastAsia="PMingLiU" w:hint="eastAsia"/>
          <w:spacing w:val="-8"/>
          <w:lang w:eastAsia="zh-TW"/>
        </w:rPr>
        <w:t>其他規定。第十九條至二十三條規定了境外機構投資</w:t>
      </w:r>
      <w:r w:rsidRPr="005B45C5">
        <w:rPr>
          <w:rFonts w:eastAsia="PMingLiU" w:hint="eastAsia"/>
          <w:spacing w:val="-21"/>
          <w:lang w:eastAsia="zh-TW"/>
        </w:rPr>
        <w:t>者入市的收費安排、突發性事件處置及免責條款、資料保存要求、</w:t>
      </w:r>
      <w:r w:rsidRPr="005B45C5">
        <w:rPr>
          <w:rFonts w:eastAsia="PMingLiU" w:hint="eastAsia"/>
          <w:lang w:eastAsia="zh-TW"/>
        </w:rPr>
        <w:t>實施日期等內容。</w:t>
      </w:r>
    </w:p>
    <w:p w14:paraId="31F3D4CD" w14:textId="77777777" w:rsidR="00660327" w:rsidRDefault="00660327">
      <w:pPr>
        <w:spacing w:line="328" w:lineRule="auto"/>
        <w:sectPr w:rsidR="00660327">
          <w:pgSz w:w="11910" w:h="16840"/>
          <w:pgMar w:top="1580" w:right="1040" w:bottom="1180" w:left="1480" w:header="0" w:footer="1007" w:gutter="0"/>
          <w:cols w:space="720"/>
        </w:sectPr>
      </w:pPr>
    </w:p>
    <w:p w14:paraId="72378EBE" w14:textId="77777777" w:rsidR="00660327" w:rsidRDefault="00660327">
      <w:pPr>
        <w:pStyle w:val="a3"/>
        <w:ind w:left="0"/>
        <w:rPr>
          <w:sz w:val="20"/>
        </w:rPr>
      </w:pPr>
    </w:p>
    <w:p w14:paraId="586BF9CC" w14:textId="77777777" w:rsidR="00660327" w:rsidRDefault="00660327">
      <w:pPr>
        <w:pStyle w:val="a3"/>
        <w:spacing w:before="10"/>
        <w:ind w:left="0"/>
        <w:rPr>
          <w:sz w:val="24"/>
        </w:rPr>
      </w:pPr>
    </w:p>
    <w:p w14:paraId="415ADACE" w14:textId="1BF1CCAB" w:rsidR="00660327" w:rsidRDefault="005B45C5">
      <w:pPr>
        <w:pStyle w:val="a3"/>
        <w:spacing w:before="54"/>
        <w:ind w:left="750"/>
      </w:pPr>
      <w:r w:rsidRPr="005B45C5">
        <w:rPr>
          <w:rFonts w:eastAsia="PMingLiU" w:hint="eastAsia"/>
          <w:lang w:eastAsia="zh-TW"/>
        </w:rPr>
        <w:t>三、規則要點說明</w:t>
      </w:r>
    </w:p>
    <w:p w14:paraId="5588E68E" w14:textId="55326013" w:rsidR="00660327" w:rsidRDefault="005B45C5">
      <w:pPr>
        <w:pStyle w:val="a3"/>
        <w:spacing w:before="150"/>
        <w:ind w:left="750"/>
      </w:pPr>
      <w:r w:rsidRPr="005B45C5">
        <w:rPr>
          <w:rFonts w:eastAsia="PMingLiU" w:hint="eastAsia"/>
          <w:lang w:eastAsia="zh-TW"/>
        </w:rPr>
        <w:t>（一）建立完善境外機構投資者入市制度的總體考慮</w:t>
      </w:r>
    </w:p>
    <w:p w14:paraId="0001A7A3" w14:textId="11C3A4EF" w:rsidR="00660327" w:rsidRDefault="005B45C5">
      <w:pPr>
        <w:pStyle w:val="a3"/>
        <w:spacing w:before="151" w:line="328" w:lineRule="auto"/>
        <w:ind w:right="111" w:firstLine="640"/>
      </w:pPr>
      <w:r w:rsidRPr="005B45C5">
        <w:rPr>
          <w:rFonts w:eastAsia="PMingLiU" w:hint="eastAsia"/>
          <w:spacing w:val="-4"/>
          <w:lang w:eastAsia="zh-TW"/>
        </w:rPr>
        <w:t>現階段境外機構投資者主要通過</w:t>
      </w:r>
      <w:r w:rsidRPr="005B45C5">
        <w:rPr>
          <w:rFonts w:eastAsia="PMingLiU"/>
          <w:spacing w:val="-4"/>
          <w:lang w:eastAsia="zh-TW"/>
        </w:rPr>
        <w:t xml:space="preserve"> </w:t>
      </w:r>
      <w:r w:rsidRPr="005B45C5">
        <w:rPr>
          <w:rFonts w:eastAsia="PMingLiU"/>
          <w:lang w:eastAsia="zh-TW"/>
        </w:rPr>
        <w:t>QFII/RQFII</w:t>
      </w:r>
      <w:r w:rsidRPr="005B45C5">
        <w:rPr>
          <w:rFonts w:eastAsia="PMingLiU"/>
          <w:spacing w:val="-8"/>
          <w:lang w:eastAsia="zh-TW"/>
        </w:rPr>
        <w:t xml:space="preserve"> </w:t>
      </w:r>
      <w:r w:rsidRPr="005B45C5">
        <w:rPr>
          <w:rFonts w:eastAsia="PMingLiU" w:hint="eastAsia"/>
          <w:spacing w:val="-8"/>
          <w:lang w:eastAsia="zh-TW"/>
        </w:rPr>
        <w:t>渠道參與交易所</w:t>
      </w:r>
      <w:r w:rsidRPr="005B45C5">
        <w:rPr>
          <w:rFonts w:eastAsia="PMingLiU" w:hint="eastAsia"/>
          <w:spacing w:val="-13"/>
          <w:lang w:eastAsia="zh-TW"/>
        </w:rPr>
        <w:t>債券市場，在此基礎上推動獲准進入銀行間債券市場的境外機</w:t>
      </w:r>
      <w:r w:rsidRPr="005B45C5">
        <w:rPr>
          <w:rFonts w:eastAsia="PMingLiU"/>
          <w:spacing w:val="-13"/>
          <w:lang w:eastAsia="zh-TW"/>
        </w:rPr>
        <w:t xml:space="preserve"> </w:t>
      </w:r>
      <w:r w:rsidRPr="005B45C5">
        <w:rPr>
          <w:rFonts w:eastAsia="PMingLiU" w:hint="eastAsia"/>
          <w:spacing w:val="-13"/>
          <w:lang w:eastAsia="zh-TW"/>
        </w:rPr>
        <w:t>構</w:t>
      </w:r>
      <w:r w:rsidRPr="005B45C5">
        <w:rPr>
          <w:rFonts w:eastAsia="PMingLiU" w:hint="eastAsia"/>
          <w:spacing w:val="-17"/>
          <w:lang w:eastAsia="zh-TW"/>
        </w:rPr>
        <w:t>投資者投資交易所債券市場，有助于貫徹新發展理念，進一步</w:t>
      </w:r>
      <w:r w:rsidRPr="005B45C5">
        <w:rPr>
          <w:rFonts w:eastAsia="PMingLiU"/>
          <w:spacing w:val="-17"/>
          <w:lang w:eastAsia="zh-TW"/>
        </w:rPr>
        <w:t xml:space="preserve"> </w:t>
      </w:r>
      <w:r w:rsidRPr="005B45C5">
        <w:rPr>
          <w:rFonts w:eastAsia="PMingLiU" w:hint="eastAsia"/>
          <w:spacing w:val="-17"/>
          <w:lang w:eastAsia="zh-TW"/>
        </w:rPr>
        <w:t>擴</w:t>
      </w:r>
      <w:r w:rsidRPr="005B45C5">
        <w:rPr>
          <w:rFonts w:eastAsia="PMingLiU" w:hint="eastAsia"/>
          <w:spacing w:val="-19"/>
          <w:lang w:eastAsia="zh-TW"/>
        </w:rPr>
        <w:t>大交易所債券市場對外開放，豐富交易所債券市場投資者類型，</w:t>
      </w:r>
      <w:r w:rsidRPr="005B45C5">
        <w:rPr>
          <w:rFonts w:eastAsia="PMingLiU"/>
          <w:spacing w:val="-19"/>
          <w:lang w:eastAsia="zh-TW"/>
        </w:rPr>
        <w:t xml:space="preserve"> </w:t>
      </w:r>
      <w:r w:rsidRPr="005B45C5">
        <w:rPr>
          <w:rFonts w:eastAsia="PMingLiU" w:hint="eastAsia"/>
          <w:lang w:eastAsia="zh-TW"/>
        </w:rPr>
        <w:t>促進交易所債券市場高質量發展。</w:t>
      </w:r>
    </w:p>
    <w:p w14:paraId="5A88C7B8" w14:textId="6EC38AD9" w:rsidR="00660327" w:rsidRDefault="005B45C5">
      <w:pPr>
        <w:pStyle w:val="a3"/>
        <w:spacing w:line="400" w:lineRule="exact"/>
        <w:ind w:left="750"/>
      </w:pPr>
      <w:r w:rsidRPr="005B45C5">
        <w:rPr>
          <w:rFonts w:eastAsia="PMingLiU" w:hint="eastAsia"/>
          <w:lang w:eastAsia="zh-TW"/>
        </w:rPr>
        <w:t>（二）境外機構投資者入市條件</w:t>
      </w:r>
    </w:p>
    <w:p w14:paraId="4C62BDD4" w14:textId="30CCFAC2" w:rsidR="00660327" w:rsidRDefault="005B45C5">
      <w:pPr>
        <w:pStyle w:val="a3"/>
        <w:spacing w:before="152" w:line="326" w:lineRule="auto"/>
        <w:ind w:right="432" w:firstLine="599"/>
        <w:jc w:val="both"/>
      </w:pPr>
      <w:r w:rsidRPr="005B45C5">
        <w:rPr>
          <w:rFonts w:eastAsia="PMingLiU" w:hint="eastAsia"/>
          <w:spacing w:val="-5"/>
          <w:lang w:eastAsia="zh-TW"/>
        </w:rPr>
        <w:t>已獲准進入銀行間債券市場的境外機構投資者，可以持中國</w:t>
      </w:r>
      <w:r w:rsidRPr="005B45C5">
        <w:rPr>
          <w:rFonts w:eastAsia="PMingLiU" w:hint="eastAsia"/>
          <w:spacing w:val="6"/>
          <w:w w:val="95"/>
          <w:lang w:eastAsia="zh-TW"/>
        </w:rPr>
        <w:t>人民銀行或中國人民銀行上海總部出具的相關備案證明文件等</w:t>
      </w:r>
      <w:r w:rsidRPr="005B45C5">
        <w:rPr>
          <w:rFonts w:eastAsia="PMingLiU"/>
          <w:spacing w:val="6"/>
          <w:w w:val="95"/>
          <w:lang w:eastAsia="zh-TW"/>
        </w:rPr>
        <w:t xml:space="preserve"> </w:t>
      </w:r>
      <w:r w:rsidRPr="005B45C5">
        <w:rPr>
          <w:rFonts w:eastAsia="PMingLiU" w:hint="eastAsia"/>
          <w:spacing w:val="6"/>
          <w:lang w:eastAsia="zh-TW"/>
        </w:rPr>
        <w:t>材料申請開立證券賬戶後投資交易所債券市場。</w:t>
      </w:r>
    </w:p>
    <w:p w14:paraId="03194982" w14:textId="5AF29CB9" w:rsidR="00660327" w:rsidRDefault="005B45C5">
      <w:pPr>
        <w:pStyle w:val="a3"/>
        <w:spacing w:before="7"/>
        <w:ind w:left="750"/>
      </w:pPr>
      <w:r w:rsidRPr="005B45C5">
        <w:rPr>
          <w:rFonts w:eastAsia="PMingLiU" w:hint="eastAsia"/>
          <w:lang w:eastAsia="zh-TW"/>
        </w:rPr>
        <w:t>（三）明確境外機構投資者入市的交易結算路徑</w:t>
      </w:r>
    </w:p>
    <w:p w14:paraId="7C25AB62" w14:textId="581C1379" w:rsidR="00660327" w:rsidRDefault="005B45C5">
      <w:pPr>
        <w:pStyle w:val="a3"/>
        <w:spacing w:before="149" w:line="328" w:lineRule="auto"/>
        <w:ind w:right="432" w:firstLine="640"/>
        <w:jc w:val="both"/>
      </w:pPr>
      <w:r w:rsidRPr="005B45C5">
        <w:rPr>
          <w:rFonts w:eastAsia="PMingLiU" w:hint="eastAsia"/>
          <w:spacing w:val="-6"/>
          <w:lang w:eastAsia="zh-TW"/>
        </w:rPr>
        <w:t>已獲准進入銀行間債券市場的境外機構投資者可以根據《公</w:t>
      </w:r>
      <w:r w:rsidRPr="005B45C5">
        <w:rPr>
          <w:rFonts w:eastAsia="PMingLiU" w:hint="eastAsia"/>
          <w:spacing w:val="-12"/>
          <w:lang w:eastAsia="zh-TW"/>
        </w:rPr>
        <w:t>告》相關規定，作爲經紀客戶委托具有深交所會員資格的境內證</w:t>
      </w:r>
      <w:r w:rsidRPr="005B45C5">
        <w:rPr>
          <w:rFonts w:eastAsia="PMingLiU" w:hint="eastAsia"/>
          <w:spacing w:val="-8"/>
          <w:lang w:eastAsia="zh-TW"/>
        </w:rPr>
        <w:t>券公司作爲交易參與人參與債券交易，幷委托具有結算參與人資</w:t>
      </w:r>
      <w:r w:rsidRPr="005B45C5">
        <w:rPr>
          <w:rFonts w:eastAsia="PMingLiU" w:hint="eastAsia"/>
          <w:spacing w:val="-7"/>
          <w:lang w:eastAsia="zh-TW"/>
        </w:rPr>
        <w:t>格的境內證券公司按照經紀業務模式辦理結算。境外機構投資者</w:t>
      </w:r>
      <w:r w:rsidRPr="005B45C5">
        <w:rPr>
          <w:rFonts w:eastAsia="PMingLiU" w:hint="eastAsia"/>
          <w:spacing w:val="-9"/>
          <w:lang w:eastAsia="zh-TW"/>
        </w:rPr>
        <w:t>可在交易所債券市場參與債券、資産支持證券、以債券和資産支</w:t>
      </w:r>
      <w:r w:rsidRPr="005B45C5">
        <w:rPr>
          <w:rFonts w:eastAsia="PMingLiU" w:hint="eastAsia"/>
          <w:spacing w:val="-7"/>
          <w:lang w:eastAsia="zh-TW"/>
        </w:rPr>
        <w:t>持證券爲投資標的的基金等産品的發行認購、交易或轉讓以及以風險管理爲目的的相關衍生産品和債券借貸。前述債券包括可交</w:t>
      </w:r>
      <w:r w:rsidRPr="005B45C5">
        <w:rPr>
          <w:rFonts w:eastAsia="PMingLiU" w:hint="eastAsia"/>
          <w:spacing w:val="-10"/>
          <w:lang w:eastAsia="zh-TW"/>
        </w:rPr>
        <w:t>換公司債券和可轉換公司債券，境外機構投資者在將可轉換公司</w:t>
      </w:r>
      <w:r w:rsidRPr="005B45C5">
        <w:rPr>
          <w:rFonts w:eastAsia="PMingLiU" w:hint="eastAsia"/>
          <w:spacing w:val="-8"/>
          <w:lang w:eastAsia="zh-TW"/>
        </w:rPr>
        <w:t>債券或可交換公司債券換爲股份時，應遵循《實施細則》關于轉</w:t>
      </w:r>
      <w:r w:rsidRPr="005B45C5">
        <w:rPr>
          <w:rFonts w:eastAsia="PMingLiU" w:hint="eastAsia"/>
          <w:lang w:eastAsia="zh-TW"/>
        </w:rPr>
        <w:t>股換股以及境外機構投資者持股比例等相關規定。</w:t>
      </w:r>
    </w:p>
    <w:p w14:paraId="4C2CC06B" w14:textId="77777777" w:rsidR="00660327" w:rsidRDefault="00660327">
      <w:pPr>
        <w:spacing w:line="328" w:lineRule="auto"/>
        <w:jc w:val="both"/>
        <w:sectPr w:rsidR="00660327">
          <w:pgSz w:w="11910" w:h="16840"/>
          <w:pgMar w:top="1580" w:right="1040" w:bottom="1200" w:left="1480" w:header="0" w:footer="995" w:gutter="0"/>
          <w:cols w:space="720"/>
        </w:sectPr>
      </w:pPr>
    </w:p>
    <w:p w14:paraId="6BDEB657" w14:textId="77777777" w:rsidR="00660327" w:rsidRDefault="00660327">
      <w:pPr>
        <w:pStyle w:val="a3"/>
        <w:ind w:left="0"/>
        <w:rPr>
          <w:sz w:val="20"/>
        </w:rPr>
      </w:pPr>
    </w:p>
    <w:p w14:paraId="5A060FE8" w14:textId="77777777" w:rsidR="00660327" w:rsidRDefault="00660327">
      <w:pPr>
        <w:pStyle w:val="a3"/>
        <w:spacing w:before="10"/>
        <w:ind w:left="0"/>
        <w:rPr>
          <w:sz w:val="24"/>
        </w:rPr>
      </w:pPr>
    </w:p>
    <w:p w14:paraId="359D0B21" w14:textId="232264E5" w:rsidR="00660327" w:rsidRDefault="005B45C5">
      <w:pPr>
        <w:pStyle w:val="a3"/>
        <w:spacing w:before="54"/>
        <w:ind w:left="750"/>
      </w:pPr>
      <w:r w:rsidRPr="005B45C5">
        <w:rPr>
          <w:rFonts w:eastAsia="PMingLiU" w:hint="eastAsia"/>
          <w:lang w:eastAsia="zh-TW"/>
        </w:rPr>
        <w:t>（四）對境外機構投資者入市的監管要求</w:t>
      </w:r>
    </w:p>
    <w:p w14:paraId="64C0AE47" w14:textId="4CCCE592" w:rsidR="00660327" w:rsidRDefault="005B45C5">
      <w:pPr>
        <w:pStyle w:val="a3"/>
        <w:spacing w:before="150" w:line="328" w:lineRule="auto"/>
        <w:ind w:right="429" w:firstLine="640"/>
        <w:jc w:val="both"/>
      </w:pPr>
      <w:r w:rsidRPr="005B45C5">
        <w:rPr>
          <w:rFonts w:eastAsia="PMingLiU" w:hint="eastAsia"/>
          <w:spacing w:val="-11"/>
          <w:lang w:eastAsia="zh-TW"/>
        </w:rPr>
        <w:t>《實施細則》根據《公告》的相關規定從機構信息報送、監管要求、對投資者及中介機構的自律監管、資料保存等方面明確</w:t>
      </w:r>
      <w:r w:rsidRPr="005B45C5">
        <w:rPr>
          <w:rFonts w:eastAsia="PMingLiU" w:hint="eastAsia"/>
          <w:spacing w:val="-16"/>
          <w:lang w:eastAsia="zh-TW"/>
        </w:rPr>
        <w:t>境外機構投資者需注意的事項，明確對境外機構投資者的自律管</w:t>
      </w:r>
      <w:r w:rsidRPr="005B45C5">
        <w:rPr>
          <w:rFonts w:eastAsia="PMingLiU" w:hint="eastAsia"/>
          <w:lang w:eastAsia="zh-TW"/>
        </w:rPr>
        <w:t>理安排。</w:t>
      </w:r>
    </w:p>
    <w:sectPr w:rsidR="00660327">
      <w:pgSz w:w="11910" w:h="16840"/>
      <w:pgMar w:top="1580" w:right="1040" w:bottom="1180" w:left="1480" w:header="0" w:footer="100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0424D0" w14:textId="77777777" w:rsidR="00362FA1" w:rsidRDefault="00362FA1">
      <w:r>
        <w:separator/>
      </w:r>
    </w:p>
  </w:endnote>
  <w:endnote w:type="continuationSeparator" w:id="0">
    <w:p w14:paraId="472E89D3" w14:textId="77777777" w:rsidR="00362FA1" w:rsidRDefault="00362F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1"/>
    <w:family w:val="swiss"/>
    <w:pitch w:val="variable"/>
  </w:font>
  <w:font w:name="PMingLiU">
    <w:altName w:val="PMingLiU"/>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BED10" w14:textId="77777777" w:rsidR="00660327" w:rsidRDefault="00000000">
    <w:pPr>
      <w:pStyle w:val="a3"/>
      <w:spacing w:line="14" w:lineRule="auto"/>
      <w:ind w:left="0"/>
      <w:rPr>
        <w:sz w:val="20"/>
      </w:rPr>
    </w:pPr>
    <w:r>
      <w:pict w14:anchorId="190A23DB">
        <v:shapetype id="_x0000_t202" coordsize="21600,21600" o:spt="202" path="m,l,21600r21600,l21600,xe">
          <v:stroke joinstyle="miter"/>
          <v:path gradientshapeok="t" o:connecttype="rect"/>
        </v:shapetype>
        <v:shape id="_x0000_s1025" type="#_x0000_t202" style="position:absolute;margin-left:98pt;margin-top:781.2pt;width:54.1pt;height:16.05pt;z-index:-15768576;mso-position-horizontal-relative:page;mso-position-vertical-relative:page" filled="f" stroked="f">
          <v:textbox inset="0,0,0,0">
            <w:txbxContent>
              <w:p w14:paraId="38DA7CD4" w14:textId="0DCFFE2C" w:rsidR="00660327" w:rsidRDefault="005B45C5">
                <w:pPr>
                  <w:spacing w:line="321" w:lineRule="exact"/>
                  <w:ind w:left="20"/>
                  <w:rPr>
                    <w:sz w:val="28"/>
                  </w:rPr>
                </w:pPr>
                <w:r w:rsidRPr="005B45C5">
                  <w:rPr>
                    <w:rFonts w:eastAsia="PMingLiU"/>
                    <w:sz w:val="28"/>
                    <w:lang w:eastAsia="zh-TW"/>
                  </w:rPr>
                  <w:t xml:space="preserve">— </w:t>
                </w:r>
                <w:r w:rsidR="00000000">
                  <w:fldChar w:fldCharType="begin"/>
                </w:r>
                <w:r w:rsidR="00000000">
                  <w:rPr>
                    <w:sz w:val="28"/>
                  </w:rPr>
                  <w:instrText xml:space="preserve"> PAGE </w:instrText>
                </w:r>
                <w:r w:rsidR="00000000">
                  <w:fldChar w:fldCharType="separate"/>
                </w:r>
                <w:r w:rsidRPr="005B45C5">
                  <w:rPr>
                    <w:rFonts w:eastAsia="PMingLiU"/>
                    <w:lang w:eastAsia="zh-TW"/>
                  </w:rPr>
                  <w:t>2</w:t>
                </w:r>
                <w:r w:rsidR="00000000">
                  <w:fldChar w:fldCharType="end"/>
                </w:r>
                <w:r w:rsidRPr="005B45C5">
                  <w:rPr>
                    <w:rFonts w:eastAsia="PMingLiU"/>
                    <w:sz w:val="28"/>
                    <w:lang w:eastAsia="zh-TW"/>
                  </w:rPr>
                  <w:t xml:space="preserve"> —</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F5A1D" w14:textId="77777777" w:rsidR="00660327" w:rsidRDefault="00000000">
    <w:pPr>
      <w:pStyle w:val="a3"/>
      <w:spacing w:line="14" w:lineRule="auto"/>
      <w:ind w:left="0"/>
      <w:rPr>
        <w:sz w:val="20"/>
      </w:rPr>
    </w:pPr>
    <w:r>
      <w:pict w14:anchorId="350E40D5">
        <v:shapetype id="_x0000_t202" coordsize="21600,21600" o:spt="202" path="m,l,21600r21600,l21600,xe">
          <v:stroke joinstyle="miter"/>
          <v:path gradientshapeok="t" o:connecttype="rect"/>
        </v:shapetype>
        <v:shape id="_x0000_s1026" type="#_x0000_t202" style="position:absolute;margin-left:461.8pt;margin-top:780.6pt;width:54.15pt;height:16.05pt;z-index:-15769088;mso-position-horizontal-relative:page;mso-position-vertical-relative:page" filled="f" stroked="f">
          <v:textbox inset="0,0,0,0">
            <w:txbxContent>
              <w:p w14:paraId="7ED9EEA9" w14:textId="0162A236" w:rsidR="00660327" w:rsidRDefault="005B45C5">
                <w:pPr>
                  <w:spacing w:line="321" w:lineRule="exact"/>
                  <w:ind w:left="20"/>
                  <w:rPr>
                    <w:sz w:val="28"/>
                  </w:rPr>
                </w:pPr>
                <w:r w:rsidRPr="005B45C5">
                  <w:rPr>
                    <w:rFonts w:eastAsia="PMingLiU"/>
                    <w:sz w:val="28"/>
                    <w:lang w:eastAsia="zh-TW"/>
                  </w:rPr>
                  <w:t xml:space="preserve">— </w:t>
                </w:r>
                <w:r w:rsidR="00000000">
                  <w:fldChar w:fldCharType="begin"/>
                </w:r>
                <w:r w:rsidR="00000000">
                  <w:rPr>
                    <w:sz w:val="28"/>
                  </w:rPr>
                  <w:instrText xml:space="preserve"> PAGE </w:instrText>
                </w:r>
                <w:r w:rsidR="00000000">
                  <w:fldChar w:fldCharType="separate"/>
                </w:r>
                <w:r w:rsidRPr="005B45C5">
                  <w:rPr>
                    <w:rFonts w:eastAsia="PMingLiU"/>
                    <w:lang w:eastAsia="zh-TW"/>
                  </w:rPr>
                  <w:t>1</w:t>
                </w:r>
                <w:r w:rsidR="00000000">
                  <w:fldChar w:fldCharType="end"/>
                </w:r>
                <w:r w:rsidRPr="005B45C5">
                  <w:rPr>
                    <w:rFonts w:eastAsia="PMingLiU"/>
                    <w:sz w:val="28"/>
                    <w:lang w:eastAsia="zh-TW"/>
                  </w:rPr>
                  <w:t xml:space="preserve"> —</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26D15C" w14:textId="77777777" w:rsidR="00362FA1" w:rsidRDefault="00362FA1">
      <w:r>
        <w:separator/>
      </w:r>
    </w:p>
  </w:footnote>
  <w:footnote w:type="continuationSeparator" w:id="0">
    <w:p w14:paraId="4A4620D2" w14:textId="77777777" w:rsidR="00362FA1" w:rsidRDefault="00362F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evenAndOddHeaders/>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useFELayout/>
    <w:compatSetting w:name="compatibilityMode" w:uri="http://schemas.microsoft.com/office/word" w:val="12"/>
    <w:compatSetting w:name="useWord2013TrackBottomHyphenation" w:uri="http://schemas.microsoft.com/office/word" w:val="1"/>
  </w:compat>
  <w:rsids>
    <w:rsidRoot w:val="00660327"/>
    <w:rsid w:val="00362FA1"/>
    <w:rsid w:val="005B45C5"/>
    <w:rsid w:val="006603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ADF397"/>
  <w15:docId w15:val="{E3981740-7DC5-4A68-8C56-A50DF0C3E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09"/>
    </w:pPr>
    <w:rPr>
      <w:sz w:val="32"/>
      <w:szCs w:val="32"/>
    </w:rPr>
  </w:style>
  <w:style w:type="paragraph" w:styleId="a4">
    <w:name w:val="Title"/>
    <w:basedOn w:val="a"/>
    <w:uiPriority w:val="10"/>
    <w:qFormat/>
    <w:pPr>
      <w:spacing w:before="1"/>
      <w:ind w:left="70" w:right="395"/>
      <w:jc w:val="center"/>
    </w:pPr>
    <w:rPr>
      <w:rFonts w:ascii="Arial Unicode MS" w:eastAsia="Arial Unicode MS" w:hAnsi="Arial Unicode MS" w:cs="Arial Unicode MS"/>
      <w:sz w:val="44"/>
      <w:szCs w:val="44"/>
    </w:rPr>
  </w:style>
  <w:style w:type="paragraph" w:styleId="a5">
    <w:name w:val="List Paragraph"/>
    <w:basedOn w:val="a"/>
    <w:uiPriority w:val="1"/>
    <w:qFormat/>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250</Words>
  <Characters>1425</Characters>
  <Application>Microsoft Office Word</Application>
  <DocSecurity>0</DocSecurity>
  <Lines>11</Lines>
  <Paragraphs>3</Paragraphs>
  <ScaleCrop>false</ScaleCrop>
  <Company/>
  <LinksUpToDate>false</LinksUpToDate>
  <CharactersWithSpaces>1672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21790074@qq.com</cp:lastModifiedBy>
  <cp:revision>2</cp:revision>
  <dcterms:created xsi:type="dcterms:W3CDTF">2022-09-12T15:40:00Z</dcterms:created>
  <dcterms:modified xsi:type="dcterms:W3CDTF">2022-09-12T15:41:00Z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2022-06-29T00:00:00Z</vt:filetime>
  </property>
  <property fmtid="{D5CDD505-2E9C-101B-9397-08002B2CF9AE}" pid="3" name="Creator">
    <vt:lpwstr>Microsoft® Word 2010</vt:lpwstr>
  </property>
  <property fmtid="{D5CDD505-2E9C-101B-9397-08002B2CF9AE}" pid="4" name="LastSaved">
    <vt:filetime>2022-09-12T00:00:00Z</vt:filetime>
  </property>
</Properties>
</file>