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2E60" w14:textId="77777777" w:rsidR="00D36BB6" w:rsidRDefault="00D36BB6">
      <w:pPr>
        <w:pStyle w:val="a3"/>
        <w:spacing w:before="4"/>
        <w:ind w:left="0"/>
        <w:rPr>
          <w:sz w:val="45"/>
        </w:rPr>
      </w:pPr>
    </w:p>
    <w:p w14:paraId="59D81062" w14:textId="03CF249C" w:rsidR="00D36BB6" w:rsidRDefault="00B37A07">
      <w:pPr>
        <w:pStyle w:val="a4"/>
        <w:spacing w:before="1" w:line="208" w:lineRule="auto"/>
        <w:ind w:left="680"/>
      </w:pPr>
      <w:r w:rsidRPr="00B37A07">
        <w:rPr>
          <w:rFonts w:ascii="宋体" w:eastAsia="PMingLiU" w:hAnsi="宋体" w:cs="宋体" w:hint="eastAsia"/>
          <w:lang w:eastAsia="zh-TW"/>
        </w:rPr>
        <w:t>深圳證券交易所</w:t>
      </w:r>
      <w:r w:rsidRPr="00B37A07">
        <w:rPr>
          <w:rFonts w:eastAsia="PMingLiU"/>
          <w:lang w:eastAsia="zh-TW"/>
        </w:rPr>
        <w:t xml:space="preserve"> </w:t>
      </w:r>
      <w:r w:rsidRPr="00B37A07">
        <w:rPr>
          <w:rFonts w:ascii="宋体" w:eastAsia="PMingLiU" w:hAnsi="宋体" w:cs="宋体" w:hint="eastAsia"/>
          <w:lang w:eastAsia="zh-TW"/>
        </w:rPr>
        <w:t>中國證券登記結算有限責任公司境外機構投資者債券交易及</w:t>
      </w:r>
    </w:p>
    <w:p w14:paraId="50F974F0" w14:textId="17ED1C08" w:rsidR="00D36BB6" w:rsidRDefault="00B37A07">
      <w:pPr>
        <w:pStyle w:val="a4"/>
        <w:spacing w:line="699" w:lineRule="exact"/>
      </w:pPr>
      <w:r w:rsidRPr="00B37A07">
        <w:rPr>
          <w:rFonts w:ascii="宋体" w:eastAsia="PMingLiU" w:hAnsi="宋体" w:cs="宋体" w:hint="eastAsia"/>
          <w:lang w:eastAsia="zh-TW"/>
        </w:rPr>
        <w:t>登記結算業務實施細則</w:t>
      </w:r>
    </w:p>
    <w:p w14:paraId="0D080643" w14:textId="77777777" w:rsidR="00D36BB6" w:rsidRDefault="00D36BB6">
      <w:pPr>
        <w:pStyle w:val="a3"/>
        <w:spacing w:before="11"/>
        <w:ind w:left="0"/>
        <w:rPr>
          <w:rFonts w:ascii="Arial Unicode MS"/>
          <w:sz w:val="35"/>
        </w:rPr>
      </w:pPr>
    </w:p>
    <w:p w14:paraId="07E50179" w14:textId="06ECBC5F" w:rsidR="00D36BB6" w:rsidRDefault="00B37A07">
      <w:pPr>
        <w:pStyle w:val="a3"/>
        <w:ind w:left="3652"/>
        <w:jc w:val="both"/>
      </w:pPr>
      <w:r w:rsidRPr="00B37A07">
        <w:rPr>
          <w:rFonts w:eastAsia="PMingLiU" w:hint="eastAsia"/>
          <w:lang w:eastAsia="zh-TW"/>
        </w:rPr>
        <w:t>第一章</w:t>
      </w:r>
      <w:r w:rsidRPr="00B37A07">
        <w:rPr>
          <w:rFonts w:eastAsia="PMingLiU"/>
          <w:lang w:eastAsia="zh-TW"/>
        </w:rPr>
        <w:t xml:space="preserve"> </w:t>
      </w:r>
      <w:r w:rsidRPr="00B37A07">
        <w:rPr>
          <w:rFonts w:eastAsia="PMingLiU" w:hint="eastAsia"/>
          <w:lang w:eastAsia="zh-TW"/>
        </w:rPr>
        <w:t>總則</w:t>
      </w:r>
    </w:p>
    <w:p w14:paraId="77763D38" w14:textId="738B15D5" w:rsidR="00D36BB6" w:rsidRDefault="00B37A07">
      <w:pPr>
        <w:pStyle w:val="a3"/>
        <w:spacing w:before="82" w:line="326" w:lineRule="auto"/>
        <w:ind w:right="269" w:firstLine="640"/>
        <w:jc w:val="both"/>
      </w:pPr>
      <w:r w:rsidRPr="00B37A07">
        <w:rPr>
          <w:rFonts w:eastAsia="PMingLiU" w:hint="eastAsia"/>
          <w:lang w:eastAsia="zh-TW"/>
        </w:rPr>
        <w:t>第一條</w:t>
      </w:r>
      <w:r w:rsidRPr="00B37A07">
        <w:rPr>
          <w:rFonts w:eastAsia="PMingLiU"/>
          <w:lang w:eastAsia="zh-TW"/>
        </w:rPr>
        <w:t xml:space="preserve"> </w:t>
      </w:r>
      <w:r w:rsidRPr="00B37A07">
        <w:rPr>
          <w:rFonts w:eastAsia="PMingLiU" w:hint="eastAsia"/>
          <w:lang w:eastAsia="zh-TW"/>
        </w:rPr>
        <w:t>爲了規範境外機構投資者在深圳證券交易所（以下簡稱深交所</w:t>
      </w:r>
      <w:r w:rsidRPr="00B37A07">
        <w:rPr>
          <w:rFonts w:eastAsia="PMingLiU" w:hint="eastAsia"/>
          <w:spacing w:val="-39"/>
          <w:lang w:eastAsia="zh-TW"/>
        </w:rPr>
        <w:t>）</w:t>
      </w:r>
      <w:r w:rsidRPr="00B37A07">
        <w:rPr>
          <w:rFonts w:eastAsia="PMingLiU" w:hint="eastAsia"/>
          <w:spacing w:val="-7"/>
          <w:lang w:eastAsia="zh-TW"/>
        </w:rPr>
        <w:t>的債券交易行爲，維護交易所債券市場秩序，根據</w:t>
      </w:r>
    </w:p>
    <w:p w14:paraId="0E178B60" w14:textId="7D1E604C" w:rsidR="00D36BB6" w:rsidRDefault="00B37A07">
      <w:pPr>
        <w:pStyle w:val="a3"/>
        <w:spacing w:before="6" w:line="326" w:lineRule="auto"/>
        <w:ind w:right="268"/>
        <w:jc w:val="both"/>
      </w:pPr>
      <w:r w:rsidRPr="00B37A07">
        <w:rPr>
          <w:rFonts w:eastAsia="PMingLiU" w:hint="eastAsia"/>
          <w:spacing w:val="-2"/>
          <w:lang w:eastAsia="zh-TW"/>
        </w:rPr>
        <w:t>《中國人民銀行</w:t>
      </w:r>
      <w:r w:rsidRPr="00B37A07">
        <w:rPr>
          <w:rFonts w:eastAsia="PMingLiU"/>
          <w:spacing w:val="-2"/>
          <w:lang w:eastAsia="zh-TW"/>
        </w:rPr>
        <w:t xml:space="preserve"> </w:t>
      </w:r>
      <w:r w:rsidRPr="00B37A07">
        <w:rPr>
          <w:rFonts w:eastAsia="PMingLiU" w:hint="eastAsia"/>
          <w:spacing w:val="-2"/>
          <w:lang w:eastAsia="zh-TW"/>
        </w:rPr>
        <w:t>中國證監會</w:t>
      </w:r>
      <w:r w:rsidRPr="00B37A07">
        <w:rPr>
          <w:rFonts w:eastAsia="PMingLiU"/>
          <w:spacing w:val="-2"/>
          <w:lang w:eastAsia="zh-TW"/>
        </w:rPr>
        <w:t xml:space="preserve"> </w:t>
      </w:r>
      <w:r w:rsidRPr="00B37A07">
        <w:rPr>
          <w:rFonts w:eastAsia="PMingLiU" w:hint="eastAsia"/>
          <w:spacing w:val="-2"/>
          <w:lang w:eastAsia="zh-TW"/>
        </w:rPr>
        <w:t>國家外匯管理局公告〔</w:t>
      </w:r>
      <w:r w:rsidRPr="00B37A07">
        <w:rPr>
          <w:rFonts w:eastAsia="PMingLiU"/>
          <w:lang w:eastAsia="zh-TW"/>
        </w:rPr>
        <w:t>2022</w:t>
      </w:r>
      <w:r w:rsidRPr="00B37A07">
        <w:rPr>
          <w:rFonts w:eastAsia="PMingLiU" w:hint="eastAsia"/>
          <w:spacing w:val="-33"/>
          <w:lang w:eastAsia="zh-TW"/>
        </w:rPr>
        <w:t>〕第</w:t>
      </w:r>
      <w:r w:rsidRPr="00B37A07">
        <w:rPr>
          <w:rFonts w:eastAsia="PMingLiU"/>
          <w:spacing w:val="-33"/>
          <w:lang w:eastAsia="zh-TW"/>
        </w:rPr>
        <w:t xml:space="preserve"> </w:t>
      </w:r>
      <w:r w:rsidRPr="00B37A07">
        <w:rPr>
          <w:rFonts w:eastAsia="PMingLiU"/>
          <w:spacing w:val="-12"/>
          <w:lang w:eastAsia="zh-TW"/>
        </w:rPr>
        <w:t xml:space="preserve">4 </w:t>
      </w:r>
      <w:r w:rsidRPr="00B37A07">
        <w:rPr>
          <w:rFonts w:eastAsia="PMingLiU" w:hint="eastAsia"/>
          <w:spacing w:val="-12"/>
          <w:lang w:eastAsia="zh-TW"/>
        </w:rPr>
        <w:t>號》等規定和深交所、中國證券登記結算有限責任公司</w:t>
      </w:r>
      <w:r w:rsidRPr="00B37A07">
        <w:rPr>
          <w:rFonts w:eastAsia="PMingLiU" w:hint="eastAsia"/>
          <w:lang w:eastAsia="zh-TW"/>
        </w:rPr>
        <w:t>（以下簡稱中國結算）相關業務規則，制定本細則。</w:t>
      </w:r>
    </w:p>
    <w:p w14:paraId="384AA96F" w14:textId="18B03E99" w:rsidR="00D36BB6" w:rsidRDefault="00B37A07">
      <w:pPr>
        <w:pStyle w:val="a3"/>
        <w:spacing w:before="7" w:line="328" w:lineRule="auto"/>
        <w:ind w:right="157" w:firstLine="640"/>
      </w:pPr>
      <w:r w:rsidRPr="00B37A07">
        <w:rPr>
          <w:rFonts w:eastAsia="PMingLiU" w:hint="eastAsia"/>
          <w:lang w:eastAsia="zh-TW"/>
        </w:rPr>
        <w:t>第二條</w:t>
      </w:r>
      <w:r w:rsidRPr="00B37A07">
        <w:rPr>
          <w:rFonts w:eastAsia="PMingLiU"/>
          <w:lang w:eastAsia="zh-TW"/>
        </w:rPr>
        <w:t xml:space="preserve"> </w:t>
      </w:r>
      <w:r w:rsidRPr="00B37A07">
        <w:rPr>
          <w:rFonts w:eastAsia="PMingLiU" w:hint="eastAsia"/>
          <w:lang w:eastAsia="zh-TW"/>
        </w:rPr>
        <w:t>獲准進入銀行間債券市場的境外機構投資者可以直</w:t>
      </w:r>
      <w:r w:rsidRPr="00B37A07">
        <w:rPr>
          <w:rFonts w:eastAsia="PMingLiU" w:hint="eastAsia"/>
          <w:spacing w:val="-6"/>
          <w:lang w:eastAsia="zh-TW"/>
        </w:rPr>
        <w:t>接或者通過互聯互通方式投資交易所債券市場。其中，獲准進入銀行間債券市場的境外機構投資者直接參與深交所債券市場的，</w:t>
      </w:r>
      <w:r w:rsidRPr="00B37A07">
        <w:rPr>
          <w:rFonts w:eastAsia="PMingLiU"/>
          <w:spacing w:val="-6"/>
          <w:lang w:eastAsia="zh-TW"/>
        </w:rPr>
        <w:t xml:space="preserve"> </w:t>
      </w:r>
      <w:r w:rsidRPr="00B37A07">
        <w:rPr>
          <w:rFonts w:eastAsia="PMingLiU" w:hint="eastAsia"/>
          <w:spacing w:val="-12"/>
          <w:lang w:eastAsia="zh-TW"/>
        </w:rPr>
        <w:t>相關托管、交易、賬戶、登記、結算業務適用本細則。本細則未</w:t>
      </w:r>
      <w:r w:rsidRPr="00B37A07">
        <w:rPr>
          <w:rFonts w:eastAsia="PMingLiU" w:hint="eastAsia"/>
          <w:spacing w:val="-19"/>
          <w:lang w:eastAsia="zh-TW"/>
        </w:rPr>
        <w:t>作規定的，適用《深圳證券交易所債券交易規則》《深圳證券交易所會員管理規則》《中國證券登記結算有限責任公司證券登記</w:t>
      </w:r>
      <w:r w:rsidRPr="00B37A07">
        <w:rPr>
          <w:rFonts w:eastAsia="PMingLiU" w:hint="eastAsia"/>
          <w:spacing w:val="-18"/>
          <w:lang w:eastAsia="zh-TW"/>
        </w:rPr>
        <w:t>規則》《中國證券登記結算有限責任公司結算規則</w:t>
      </w:r>
      <w:r w:rsidRPr="00B37A07">
        <w:rPr>
          <w:rFonts w:eastAsia="PMingLiU" w:hint="eastAsia"/>
          <w:spacing w:val="-32"/>
          <w:lang w:eastAsia="zh-TW"/>
        </w:rPr>
        <w:t>》《中國證券登</w:t>
      </w:r>
      <w:r w:rsidRPr="00B37A07">
        <w:rPr>
          <w:rFonts w:eastAsia="PMingLiU" w:hint="eastAsia"/>
          <w:spacing w:val="-27"/>
          <w:lang w:eastAsia="zh-TW"/>
        </w:rPr>
        <w:t>記結算有限責任公司證券賬戶管理規則》及深交所、中國結算其他相關規定。</w:t>
      </w:r>
    </w:p>
    <w:p w14:paraId="2352CCB6" w14:textId="76B34BE3" w:rsidR="00D36BB6" w:rsidRDefault="00B37A07">
      <w:pPr>
        <w:pStyle w:val="a3"/>
        <w:spacing w:line="395" w:lineRule="exact"/>
        <w:ind w:left="675"/>
      </w:pPr>
      <w:r w:rsidRPr="00B37A07">
        <w:rPr>
          <w:rFonts w:eastAsia="PMingLiU" w:hint="eastAsia"/>
          <w:lang w:eastAsia="zh-TW"/>
        </w:rPr>
        <w:t>第三條</w:t>
      </w:r>
      <w:r w:rsidRPr="00B37A07">
        <w:rPr>
          <w:rFonts w:eastAsia="PMingLiU"/>
          <w:lang w:eastAsia="zh-TW"/>
        </w:rPr>
        <w:t xml:space="preserve"> </w:t>
      </w:r>
      <w:r w:rsidRPr="00B37A07">
        <w:rPr>
          <w:rFonts w:eastAsia="PMingLiU" w:hint="eastAsia"/>
          <w:lang w:eastAsia="zh-TW"/>
        </w:rPr>
        <w:t>境外機構投資者直接參與深交所債券市場的，應當</w:t>
      </w:r>
    </w:p>
    <w:p w14:paraId="3A841D3C" w14:textId="77777777" w:rsidR="00D36BB6" w:rsidRDefault="00D36BB6">
      <w:pPr>
        <w:spacing w:line="395" w:lineRule="exact"/>
        <w:sectPr w:rsidR="00D36BB6">
          <w:footerReference w:type="even" r:id="rId6"/>
          <w:footerReference w:type="default" r:id="rId7"/>
          <w:type w:val="continuous"/>
          <w:pgSz w:w="11910" w:h="16840"/>
          <w:pgMar w:top="1580" w:right="1200" w:bottom="1160" w:left="1480" w:header="720" w:footer="990" w:gutter="0"/>
          <w:pgNumType w:start="1"/>
          <w:cols w:space="720"/>
        </w:sectPr>
      </w:pPr>
    </w:p>
    <w:p w14:paraId="79626CB2" w14:textId="77777777" w:rsidR="00D36BB6" w:rsidRDefault="00D36BB6">
      <w:pPr>
        <w:pStyle w:val="a3"/>
        <w:ind w:left="0"/>
        <w:rPr>
          <w:sz w:val="20"/>
        </w:rPr>
      </w:pPr>
    </w:p>
    <w:p w14:paraId="4FF0EA11" w14:textId="77777777" w:rsidR="00D36BB6" w:rsidRDefault="00D36BB6">
      <w:pPr>
        <w:pStyle w:val="a3"/>
        <w:spacing w:before="8"/>
        <w:ind w:left="0"/>
        <w:rPr>
          <w:sz w:val="20"/>
        </w:rPr>
      </w:pPr>
    </w:p>
    <w:p w14:paraId="68505C53" w14:textId="1EE41E19" w:rsidR="00D36BB6" w:rsidRDefault="00B37A07">
      <w:pPr>
        <w:pStyle w:val="a3"/>
        <w:spacing w:before="55" w:line="328" w:lineRule="auto"/>
        <w:ind w:right="272"/>
        <w:jc w:val="both"/>
      </w:pPr>
      <w:r w:rsidRPr="00B37A07">
        <w:rPr>
          <w:rFonts w:eastAsia="PMingLiU" w:hint="eastAsia"/>
          <w:spacing w:val="-8"/>
          <w:lang w:eastAsia="zh-TW"/>
        </w:rPr>
        <w:t>委托符合條件的商業銀行作爲托管人，委托具有深交所會員資格</w:t>
      </w:r>
      <w:r w:rsidRPr="00B37A07">
        <w:rPr>
          <w:rFonts w:eastAsia="PMingLiU" w:hint="eastAsia"/>
          <w:spacing w:val="-9"/>
          <w:lang w:eastAsia="zh-TW"/>
        </w:rPr>
        <w:t>的境內證券公司作爲交易參與人，委托具有中國結算結算參與人</w:t>
      </w:r>
      <w:r w:rsidRPr="00B37A07">
        <w:rPr>
          <w:rFonts w:eastAsia="PMingLiU" w:hint="eastAsia"/>
          <w:spacing w:val="-8"/>
          <w:lang w:eastAsia="zh-TW"/>
        </w:rPr>
        <w:t>資格的境內證券公司辦理結算業務。深交所、中國結算另有規定</w:t>
      </w:r>
      <w:r w:rsidRPr="00B37A07">
        <w:rPr>
          <w:rFonts w:eastAsia="PMingLiU" w:hint="eastAsia"/>
          <w:lang w:eastAsia="zh-TW"/>
        </w:rPr>
        <w:t>的，從其規定。</w:t>
      </w:r>
    </w:p>
    <w:p w14:paraId="6DF2C74C" w14:textId="1AA71F96" w:rsidR="00D36BB6" w:rsidRDefault="00B37A07">
      <w:pPr>
        <w:pStyle w:val="a3"/>
        <w:spacing w:line="328" w:lineRule="auto"/>
        <w:ind w:right="266" w:firstLine="640"/>
        <w:jc w:val="both"/>
      </w:pPr>
      <w:r w:rsidRPr="00B37A07">
        <w:rPr>
          <w:rFonts w:eastAsia="PMingLiU" w:hint="eastAsia"/>
          <w:lang w:eastAsia="zh-TW"/>
        </w:rPr>
        <w:t>第四條</w:t>
      </w:r>
      <w:r w:rsidRPr="00B37A07">
        <w:rPr>
          <w:rFonts w:eastAsia="PMingLiU"/>
          <w:lang w:eastAsia="zh-TW"/>
        </w:rPr>
        <w:t xml:space="preserve"> </w:t>
      </w:r>
      <w:r w:rsidRPr="00B37A07">
        <w:rPr>
          <w:rFonts w:eastAsia="PMingLiU" w:hint="eastAsia"/>
          <w:lang w:eastAsia="zh-TW"/>
        </w:rPr>
        <w:t>境外機構投資者及其境內托管人、交易參與人、結</w:t>
      </w:r>
      <w:r w:rsidRPr="00B37A07">
        <w:rPr>
          <w:rFonts w:eastAsia="PMingLiU" w:hint="eastAsia"/>
          <w:spacing w:val="-7"/>
          <w:lang w:eastAsia="zh-TW"/>
        </w:rPr>
        <w:t>算參與人等主體參與深交所債券托管、交易、賬戶、登記、結算</w:t>
      </w:r>
      <w:r w:rsidRPr="00B37A07">
        <w:rPr>
          <w:rFonts w:eastAsia="PMingLiU" w:hint="eastAsia"/>
          <w:spacing w:val="-6"/>
          <w:lang w:eastAsia="zh-TW"/>
        </w:rPr>
        <w:t>業務的，應當接受深交所和中國結算的自律管理。</w:t>
      </w:r>
    </w:p>
    <w:p w14:paraId="15D4A513" w14:textId="77777777" w:rsidR="00D36BB6" w:rsidRDefault="00D36BB6">
      <w:pPr>
        <w:pStyle w:val="a3"/>
        <w:spacing w:before="11"/>
        <w:ind w:left="0"/>
        <w:rPr>
          <w:sz w:val="39"/>
        </w:rPr>
      </w:pPr>
    </w:p>
    <w:p w14:paraId="19CD8420" w14:textId="6EECD33F" w:rsidR="00D36BB6" w:rsidRDefault="00B37A07">
      <w:pPr>
        <w:pStyle w:val="a3"/>
        <w:ind w:left="3330"/>
        <w:jc w:val="both"/>
      </w:pPr>
      <w:r w:rsidRPr="00B37A07">
        <w:rPr>
          <w:rFonts w:eastAsia="PMingLiU" w:hint="eastAsia"/>
          <w:lang w:eastAsia="zh-TW"/>
        </w:rPr>
        <w:t>第二章</w:t>
      </w:r>
      <w:r w:rsidRPr="00B37A07">
        <w:rPr>
          <w:rFonts w:eastAsia="PMingLiU"/>
          <w:lang w:eastAsia="zh-TW"/>
        </w:rPr>
        <w:t xml:space="preserve"> </w:t>
      </w:r>
      <w:r w:rsidRPr="00B37A07">
        <w:rPr>
          <w:rFonts w:eastAsia="PMingLiU" w:hint="eastAsia"/>
          <w:lang w:eastAsia="zh-TW"/>
        </w:rPr>
        <w:t>信息報送</w:t>
      </w:r>
    </w:p>
    <w:p w14:paraId="7C527844" w14:textId="0C4CC8B8" w:rsidR="00D36BB6" w:rsidRDefault="00B37A07">
      <w:pPr>
        <w:pStyle w:val="a3"/>
        <w:spacing w:before="82" w:line="328" w:lineRule="auto"/>
        <w:ind w:right="266" w:firstLine="640"/>
        <w:jc w:val="both"/>
      </w:pPr>
      <w:r w:rsidRPr="00B37A07">
        <w:rPr>
          <w:rFonts w:eastAsia="PMingLiU" w:hint="eastAsia"/>
          <w:lang w:eastAsia="zh-TW"/>
        </w:rPr>
        <w:t>第五條</w:t>
      </w:r>
      <w:r w:rsidRPr="00B37A07">
        <w:rPr>
          <w:rFonts w:eastAsia="PMingLiU"/>
          <w:lang w:eastAsia="zh-TW"/>
        </w:rPr>
        <w:t xml:space="preserve"> </w:t>
      </w:r>
      <w:r w:rsidRPr="00B37A07">
        <w:rPr>
          <w:rFonts w:eastAsia="PMingLiU" w:hint="eastAsia"/>
          <w:lang w:eastAsia="zh-TW"/>
        </w:rPr>
        <w:t>境外機構投資者應當與境內托管人簽署信息報送相</w:t>
      </w:r>
      <w:r w:rsidRPr="00B37A07">
        <w:rPr>
          <w:rFonts w:eastAsia="PMingLiU" w:hint="eastAsia"/>
          <w:spacing w:val="-10"/>
          <w:lang w:eastAsia="zh-TW"/>
        </w:rPr>
        <w:t>關委托書。托管人應向深交所報送境外機構投資者基本信息、托管人基本信息及交易參與人基本信息。</w:t>
      </w:r>
    </w:p>
    <w:p w14:paraId="02DCD533" w14:textId="19FD9ABB" w:rsidR="00D36BB6" w:rsidRDefault="00B37A07">
      <w:pPr>
        <w:pStyle w:val="a3"/>
        <w:spacing w:line="328" w:lineRule="auto"/>
        <w:ind w:right="266" w:firstLine="640"/>
        <w:jc w:val="both"/>
      </w:pPr>
      <w:r w:rsidRPr="00B37A07">
        <w:rPr>
          <w:rFonts w:eastAsia="PMingLiU" w:hint="eastAsia"/>
          <w:lang w:eastAsia="zh-TW"/>
        </w:rPr>
        <w:t>第六條</w:t>
      </w:r>
      <w:r w:rsidRPr="00B37A07">
        <w:rPr>
          <w:rFonts w:eastAsia="PMingLiU"/>
          <w:lang w:eastAsia="zh-TW"/>
        </w:rPr>
        <w:t xml:space="preserve"> </w:t>
      </w:r>
      <w:r w:rsidRPr="00B37A07">
        <w:rPr>
          <w:rFonts w:eastAsia="PMingLiU" w:hint="eastAsia"/>
          <w:lang w:eastAsia="zh-TW"/>
        </w:rPr>
        <w:t>境外機構投資者存在下列情形之一的，其托管人應當在該事實發生之日或者客戶通知之日起</w:t>
      </w:r>
      <w:r w:rsidRPr="00B37A07">
        <w:rPr>
          <w:rFonts w:eastAsia="PMingLiU"/>
          <w:lang w:eastAsia="zh-TW"/>
        </w:rPr>
        <w:t xml:space="preserve"> 5 </w:t>
      </w:r>
      <w:r w:rsidRPr="00B37A07">
        <w:rPr>
          <w:rFonts w:eastAsia="PMingLiU" w:hint="eastAsia"/>
          <w:lang w:eastAsia="zh-TW"/>
        </w:rPr>
        <w:t>個交易日內將有關情况報送深交所：</w:t>
      </w:r>
    </w:p>
    <w:p w14:paraId="6CEBA8D1" w14:textId="104CC8DE" w:rsidR="00D36BB6" w:rsidRDefault="00B37A07">
      <w:pPr>
        <w:pStyle w:val="a3"/>
        <w:spacing w:line="405" w:lineRule="exact"/>
        <w:ind w:left="750"/>
      </w:pPr>
      <w:r w:rsidRPr="00B37A07">
        <w:rPr>
          <w:rFonts w:eastAsia="PMingLiU" w:hint="eastAsia"/>
          <w:lang w:eastAsia="zh-TW"/>
        </w:rPr>
        <w:t>（一）指定或者變更托管人；</w:t>
      </w:r>
    </w:p>
    <w:p w14:paraId="27B848F9" w14:textId="4E8D1F2C" w:rsidR="00D36BB6" w:rsidRDefault="00B37A07">
      <w:pPr>
        <w:pStyle w:val="a3"/>
        <w:spacing w:before="147" w:line="326" w:lineRule="auto"/>
        <w:ind w:right="270" w:firstLine="640"/>
      </w:pPr>
      <w:r w:rsidRPr="00B37A07">
        <w:rPr>
          <w:rFonts w:eastAsia="PMingLiU" w:hint="eastAsia"/>
          <w:lang w:eastAsia="zh-TW"/>
        </w:rPr>
        <w:t>（二</w:t>
      </w:r>
      <w:r w:rsidRPr="00B37A07">
        <w:rPr>
          <w:rFonts w:eastAsia="PMingLiU" w:hint="eastAsia"/>
          <w:spacing w:val="-29"/>
          <w:lang w:eastAsia="zh-TW"/>
        </w:rPr>
        <w:t>）</w:t>
      </w:r>
      <w:r w:rsidRPr="00B37A07">
        <w:rPr>
          <w:rFonts w:eastAsia="PMingLiU" w:hint="eastAsia"/>
          <w:spacing w:val="-11"/>
          <w:lang w:eastAsia="zh-TW"/>
        </w:rPr>
        <w:t>開立、注銷證券賬戶，指定或者變更交易參與人、結</w:t>
      </w:r>
      <w:r w:rsidRPr="00B37A07">
        <w:rPr>
          <w:rFonts w:eastAsia="PMingLiU" w:hint="eastAsia"/>
          <w:lang w:eastAsia="zh-TW"/>
        </w:rPr>
        <w:t>算參與人；</w:t>
      </w:r>
    </w:p>
    <w:p w14:paraId="63D44A5A" w14:textId="514E38DA" w:rsidR="00D36BB6" w:rsidRDefault="00B37A07">
      <w:pPr>
        <w:pStyle w:val="a3"/>
        <w:spacing w:before="3"/>
        <w:ind w:left="750"/>
      </w:pPr>
      <w:r w:rsidRPr="00B37A07">
        <w:rPr>
          <w:rFonts w:eastAsia="PMingLiU" w:hint="eastAsia"/>
          <w:lang w:eastAsia="zh-TW"/>
        </w:rPr>
        <w:t>（三）變更機構名稱、注册地、業務連絡人等基本信息；</w:t>
      </w:r>
    </w:p>
    <w:p w14:paraId="62354CFD" w14:textId="18A4A4A1" w:rsidR="00D36BB6" w:rsidRDefault="00B37A07">
      <w:pPr>
        <w:pStyle w:val="a3"/>
        <w:spacing w:before="152"/>
        <w:ind w:left="750"/>
      </w:pPr>
      <w:r w:rsidRPr="00B37A07">
        <w:rPr>
          <w:rFonts w:eastAsia="PMingLiU" w:hint="eastAsia"/>
          <w:lang w:eastAsia="zh-TW"/>
        </w:rPr>
        <w:t>（四）解散、宣告破産或者被其他機構合幷；</w:t>
      </w:r>
    </w:p>
    <w:p w14:paraId="31D76E23" w14:textId="305A2A9F" w:rsidR="00D36BB6" w:rsidRDefault="00B37A07">
      <w:pPr>
        <w:pStyle w:val="a3"/>
        <w:spacing w:before="149"/>
        <w:ind w:left="750"/>
      </w:pPr>
      <w:r w:rsidRPr="00B37A07">
        <w:rPr>
          <w:rFonts w:eastAsia="PMingLiU" w:hint="eastAsia"/>
          <w:lang w:eastAsia="zh-TW"/>
        </w:rPr>
        <w:t>（五）涉及境內外重大訴訟或者其他重大事件；</w:t>
      </w:r>
    </w:p>
    <w:p w14:paraId="30A90198" w14:textId="60114344" w:rsidR="00D36BB6" w:rsidRDefault="00B37A07">
      <w:pPr>
        <w:pStyle w:val="a3"/>
        <w:spacing w:before="150"/>
        <w:ind w:left="750"/>
      </w:pPr>
      <w:r w:rsidRPr="00B37A07">
        <w:rPr>
          <w:rFonts w:eastAsia="PMingLiU" w:hint="eastAsia"/>
          <w:lang w:eastAsia="zh-TW"/>
        </w:rPr>
        <w:t>（六）受到自律監管措施或者紀律處分；</w:t>
      </w:r>
    </w:p>
    <w:p w14:paraId="5EAEE5A1" w14:textId="77777777" w:rsidR="00D36BB6" w:rsidRDefault="00D36BB6">
      <w:pPr>
        <w:sectPr w:rsidR="00D36BB6">
          <w:pgSz w:w="11910" w:h="16840"/>
          <w:pgMar w:top="1580" w:right="1200" w:bottom="1180" w:left="1480" w:header="0" w:footer="971" w:gutter="0"/>
          <w:cols w:space="720"/>
        </w:sectPr>
      </w:pPr>
    </w:p>
    <w:p w14:paraId="76AC4147" w14:textId="77777777" w:rsidR="00D36BB6" w:rsidRDefault="00D36BB6">
      <w:pPr>
        <w:pStyle w:val="a3"/>
        <w:ind w:left="0"/>
        <w:rPr>
          <w:sz w:val="20"/>
        </w:rPr>
      </w:pPr>
    </w:p>
    <w:p w14:paraId="4951414B" w14:textId="77777777" w:rsidR="00D36BB6" w:rsidRDefault="00D36BB6">
      <w:pPr>
        <w:pStyle w:val="a3"/>
        <w:spacing w:before="8"/>
        <w:ind w:left="0"/>
        <w:rPr>
          <w:sz w:val="20"/>
        </w:rPr>
      </w:pPr>
    </w:p>
    <w:p w14:paraId="4D42C7DE" w14:textId="2D5121A8" w:rsidR="00D36BB6" w:rsidRDefault="00B37A07">
      <w:pPr>
        <w:pStyle w:val="a3"/>
        <w:spacing w:before="55" w:line="326" w:lineRule="auto"/>
        <w:ind w:right="270" w:firstLine="640"/>
      </w:pPr>
      <w:r w:rsidRPr="00B37A07">
        <w:rPr>
          <w:rFonts w:eastAsia="PMingLiU" w:hint="eastAsia"/>
          <w:lang w:eastAsia="zh-TW"/>
        </w:rPr>
        <w:t>（七</w:t>
      </w:r>
      <w:r w:rsidRPr="00B37A07">
        <w:rPr>
          <w:rFonts w:eastAsia="PMingLiU" w:hint="eastAsia"/>
          <w:spacing w:val="-58"/>
          <w:lang w:eastAsia="zh-TW"/>
        </w:rPr>
        <w:t>）</w:t>
      </w:r>
      <w:r w:rsidRPr="00B37A07">
        <w:rPr>
          <w:rFonts w:eastAsia="PMingLiU" w:hint="eastAsia"/>
          <w:spacing w:val="-8"/>
          <w:lang w:eastAsia="zh-TW"/>
        </w:rPr>
        <w:t>受到中國證監會、中國人民銀行或者國家外匯管理局</w:t>
      </w:r>
      <w:r w:rsidRPr="00B37A07">
        <w:rPr>
          <w:rFonts w:eastAsia="PMingLiU" w:hint="eastAsia"/>
          <w:lang w:eastAsia="zh-TW"/>
        </w:rPr>
        <w:t>等境內行政監管機構處罰或者在境外受到重大處罰；</w:t>
      </w:r>
    </w:p>
    <w:p w14:paraId="15FA5F86" w14:textId="5C7B704F" w:rsidR="00D36BB6" w:rsidRDefault="00B37A07">
      <w:pPr>
        <w:pStyle w:val="a3"/>
        <w:spacing w:before="5" w:line="326" w:lineRule="auto"/>
        <w:ind w:right="270" w:firstLine="640"/>
      </w:pPr>
      <w:r w:rsidRPr="00B37A07">
        <w:rPr>
          <w:rFonts w:eastAsia="PMingLiU" w:hint="eastAsia"/>
          <w:lang w:eastAsia="zh-TW"/>
        </w:rPr>
        <w:t>（八</w:t>
      </w:r>
      <w:r w:rsidRPr="00B37A07">
        <w:rPr>
          <w:rFonts w:eastAsia="PMingLiU" w:hint="eastAsia"/>
          <w:spacing w:val="-58"/>
          <w:lang w:eastAsia="zh-TW"/>
        </w:rPr>
        <w:t>）</w:t>
      </w:r>
      <w:r w:rsidRPr="00B37A07">
        <w:rPr>
          <w:rFonts w:eastAsia="PMingLiU" w:hint="eastAsia"/>
          <w:spacing w:val="-9"/>
          <w:lang w:eastAsia="zh-TW"/>
        </w:rPr>
        <w:t>中國證監會、中國人民銀行或者國家外匯管理局等行</w:t>
      </w:r>
      <w:r w:rsidRPr="00B37A07">
        <w:rPr>
          <w:rFonts w:eastAsia="PMingLiU" w:hint="eastAsia"/>
          <w:lang w:eastAsia="zh-TW"/>
        </w:rPr>
        <w:t>政監管機構以及深交所、中國結算規定的其他情形。</w:t>
      </w:r>
    </w:p>
    <w:p w14:paraId="412F6348" w14:textId="35CB3E41" w:rsidR="00D36BB6" w:rsidRDefault="00B37A07">
      <w:pPr>
        <w:pStyle w:val="a3"/>
        <w:spacing w:before="4" w:line="328" w:lineRule="auto"/>
        <w:ind w:right="266" w:firstLine="640"/>
        <w:jc w:val="both"/>
      </w:pPr>
      <w:r w:rsidRPr="00B37A07">
        <w:rPr>
          <w:rFonts w:eastAsia="PMingLiU" w:hint="eastAsia"/>
          <w:lang w:eastAsia="zh-TW"/>
        </w:rPr>
        <w:t>第七條</w:t>
      </w:r>
      <w:r w:rsidRPr="00B37A07">
        <w:rPr>
          <w:rFonts w:eastAsia="PMingLiU"/>
          <w:lang w:eastAsia="zh-TW"/>
        </w:rPr>
        <w:t xml:space="preserve"> </w:t>
      </w:r>
      <w:r w:rsidRPr="00B37A07">
        <w:rPr>
          <w:rFonts w:eastAsia="PMingLiU" w:hint="eastAsia"/>
          <w:lang w:eastAsia="zh-TW"/>
        </w:rPr>
        <w:t>深交所對可能嚴重影響正常交易秩序的异常交易行</w:t>
      </w:r>
      <w:r w:rsidRPr="00B37A07">
        <w:rPr>
          <w:rFonts w:eastAsia="PMingLiU" w:hint="eastAsia"/>
          <w:spacing w:val="-8"/>
          <w:lang w:eastAsia="zh-TW"/>
        </w:rPr>
        <w:t>爲或者涉嫌違法違規的交易行爲，可以要求相應托管人及時報告</w:t>
      </w:r>
      <w:r w:rsidRPr="00B37A07">
        <w:rPr>
          <w:rFonts w:eastAsia="PMingLiU" w:hint="eastAsia"/>
          <w:spacing w:val="-15"/>
          <w:lang w:eastAsia="zh-TW"/>
        </w:rPr>
        <w:t>境外機構投資者債券持有情况；境外機構投資者作爲産品管理人</w:t>
      </w:r>
      <w:r w:rsidRPr="00B37A07">
        <w:rPr>
          <w:rFonts w:eastAsia="PMingLiU" w:hint="eastAsia"/>
          <w:spacing w:val="-17"/>
          <w:lang w:eastAsia="zh-TW"/>
        </w:rPr>
        <w:t>投資交易所債券市場的，深交所可以要求托管人報告産品投資人及其債券持有情况。</w:t>
      </w:r>
    </w:p>
    <w:p w14:paraId="5200A58F" w14:textId="77777777" w:rsidR="00D36BB6" w:rsidRDefault="00D36BB6">
      <w:pPr>
        <w:pStyle w:val="a3"/>
        <w:spacing w:before="3"/>
        <w:ind w:left="0"/>
        <w:rPr>
          <w:sz w:val="40"/>
        </w:rPr>
      </w:pPr>
    </w:p>
    <w:p w14:paraId="7DDC4812" w14:textId="79832A02" w:rsidR="00D36BB6" w:rsidRDefault="00B37A07">
      <w:pPr>
        <w:pStyle w:val="a3"/>
        <w:ind w:left="3330"/>
      </w:pPr>
      <w:r w:rsidRPr="00B37A07">
        <w:rPr>
          <w:rFonts w:eastAsia="PMingLiU" w:hint="eastAsia"/>
          <w:lang w:eastAsia="zh-TW"/>
        </w:rPr>
        <w:t>第三章</w:t>
      </w:r>
      <w:r w:rsidRPr="00B37A07">
        <w:rPr>
          <w:rFonts w:eastAsia="PMingLiU"/>
          <w:lang w:eastAsia="zh-TW"/>
        </w:rPr>
        <w:t xml:space="preserve"> </w:t>
      </w:r>
      <w:r w:rsidRPr="00B37A07">
        <w:rPr>
          <w:rFonts w:eastAsia="PMingLiU" w:hint="eastAsia"/>
          <w:lang w:eastAsia="zh-TW"/>
        </w:rPr>
        <w:t>交易委托</w:t>
      </w:r>
    </w:p>
    <w:p w14:paraId="06C5D4AD" w14:textId="44CE5E93" w:rsidR="00D36BB6" w:rsidRDefault="00B37A07">
      <w:pPr>
        <w:pStyle w:val="a3"/>
        <w:spacing w:before="82" w:line="326" w:lineRule="auto"/>
        <w:ind w:right="268" w:firstLine="640"/>
      </w:pPr>
      <w:r w:rsidRPr="00B37A07">
        <w:rPr>
          <w:rFonts w:eastAsia="PMingLiU" w:hint="eastAsia"/>
          <w:lang w:eastAsia="zh-TW"/>
        </w:rPr>
        <w:t>第八條</w:t>
      </w:r>
      <w:r w:rsidRPr="00B37A07">
        <w:rPr>
          <w:rFonts w:eastAsia="PMingLiU"/>
          <w:lang w:eastAsia="zh-TW"/>
        </w:rPr>
        <w:t xml:space="preserve"> </w:t>
      </w:r>
      <w:r w:rsidRPr="00B37A07">
        <w:rPr>
          <w:rFonts w:eastAsia="PMingLiU" w:hint="eastAsia"/>
          <w:lang w:eastAsia="zh-TW"/>
        </w:rPr>
        <w:t>交易參與人應當對作爲其經紀客戶的境外機構投資者參與深交所債券交易行爲履行以下管理職責：</w:t>
      </w:r>
    </w:p>
    <w:p w14:paraId="6E7CA751" w14:textId="29A96F46" w:rsidR="00D36BB6" w:rsidRDefault="00B37A07">
      <w:pPr>
        <w:pStyle w:val="a3"/>
        <w:spacing w:before="6"/>
        <w:ind w:left="750"/>
      </w:pPr>
      <w:r w:rsidRPr="00B37A07">
        <w:rPr>
          <w:rFonts w:eastAsia="PMingLiU" w:hint="eastAsia"/>
          <w:lang w:eastAsia="zh-TW"/>
        </w:rPr>
        <w:t>（一）向深交所報告其接受委托的境外機構投資者信息；</w:t>
      </w:r>
    </w:p>
    <w:p w14:paraId="3F2BD0A7" w14:textId="60B13925" w:rsidR="00D36BB6" w:rsidRDefault="00B37A07">
      <w:pPr>
        <w:pStyle w:val="a3"/>
        <w:spacing w:before="149" w:line="328" w:lineRule="auto"/>
        <w:ind w:right="159" w:firstLine="640"/>
      </w:pPr>
      <w:r w:rsidRPr="00B37A07">
        <w:rPr>
          <w:rFonts w:eastAsia="PMingLiU" w:hint="eastAsia"/>
          <w:lang w:eastAsia="zh-TW"/>
        </w:rPr>
        <w:t>（二</w:t>
      </w:r>
      <w:r w:rsidRPr="00B37A07">
        <w:rPr>
          <w:rFonts w:eastAsia="PMingLiU" w:hint="eastAsia"/>
          <w:spacing w:val="-58"/>
          <w:lang w:eastAsia="zh-TW"/>
        </w:rPr>
        <w:t>）</w:t>
      </w:r>
      <w:r w:rsidRPr="00B37A07">
        <w:rPr>
          <w:rFonts w:eastAsia="PMingLiU" w:hint="eastAsia"/>
          <w:spacing w:val="-4"/>
          <w:lang w:eastAsia="zh-TW"/>
        </w:rPr>
        <w:t>在相關業務系統中設置前端控制，對境外機構投資者</w:t>
      </w:r>
      <w:r w:rsidRPr="00B37A07">
        <w:rPr>
          <w:rFonts w:eastAsia="PMingLiU" w:hint="eastAsia"/>
          <w:spacing w:val="-5"/>
          <w:lang w:eastAsia="zh-TW"/>
        </w:rPr>
        <w:t>的每一筆委托申報所涉及的資金、債券、價格等內容進行核查，</w:t>
      </w:r>
      <w:r w:rsidRPr="00B37A07">
        <w:rPr>
          <w:rFonts w:eastAsia="PMingLiU"/>
          <w:spacing w:val="-5"/>
          <w:lang w:eastAsia="zh-TW"/>
        </w:rPr>
        <w:t xml:space="preserve"> </w:t>
      </w:r>
      <w:r w:rsidRPr="00B37A07">
        <w:rPr>
          <w:rFonts w:eastAsia="PMingLiU" w:hint="eastAsia"/>
          <w:lang w:eastAsia="zh-TW"/>
        </w:rPr>
        <w:t>確保境外機構投資者委托申報符合深交所相關規則的規定；</w:t>
      </w:r>
    </w:p>
    <w:p w14:paraId="0EF064D2" w14:textId="7823A25F" w:rsidR="00D36BB6" w:rsidRDefault="00B37A07">
      <w:pPr>
        <w:pStyle w:val="a3"/>
        <w:spacing w:line="328" w:lineRule="auto"/>
        <w:ind w:right="272" w:firstLine="640"/>
        <w:jc w:val="both"/>
      </w:pPr>
      <w:r w:rsidRPr="00B37A07">
        <w:rPr>
          <w:rFonts w:eastAsia="PMingLiU" w:hint="eastAsia"/>
          <w:lang w:eastAsia="zh-TW"/>
        </w:rPr>
        <w:t>（三</w:t>
      </w:r>
      <w:r w:rsidRPr="00B37A07">
        <w:rPr>
          <w:rFonts w:eastAsia="PMingLiU" w:hint="eastAsia"/>
          <w:spacing w:val="-116"/>
          <w:lang w:eastAsia="zh-TW"/>
        </w:rPr>
        <w:t>）</w:t>
      </w:r>
      <w:r w:rsidRPr="00B37A07">
        <w:rPr>
          <w:rFonts w:eastAsia="PMingLiU" w:hint="eastAsia"/>
          <w:spacing w:val="-1"/>
          <w:lang w:eastAsia="zh-TW"/>
        </w:rPr>
        <w:t>因境外機構投資者出現异常交易行爲被深交所采取自</w:t>
      </w:r>
      <w:r w:rsidRPr="00B37A07">
        <w:rPr>
          <w:rFonts w:eastAsia="PMingLiU" w:hint="eastAsia"/>
          <w:spacing w:val="-12"/>
          <w:lang w:eastAsia="zh-TW"/>
        </w:rPr>
        <w:t>律監管措施的，及時與境外機構投資者取得聯繫，告知相關監管</w:t>
      </w:r>
      <w:r w:rsidRPr="00B37A07">
        <w:rPr>
          <w:rFonts w:eastAsia="PMingLiU" w:hint="eastAsia"/>
          <w:lang w:eastAsia="zh-TW"/>
        </w:rPr>
        <w:t>信息，規範和約束境外機構投資者交易行爲；</w:t>
      </w:r>
    </w:p>
    <w:p w14:paraId="37589113" w14:textId="002A34FD" w:rsidR="00D36BB6" w:rsidRDefault="00B37A07">
      <w:pPr>
        <w:pStyle w:val="a3"/>
        <w:spacing w:line="326" w:lineRule="auto"/>
        <w:ind w:right="159" w:firstLine="640"/>
      </w:pPr>
      <w:r w:rsidRPr="00B37A07">
        <w:rPr>
          <w:rFonts w:eastAsia="PMingLiU" w:hint="eastAsia"/>
          <w:lang w:eastAsia="zh-TW"/>
        </w:rPr>
        <w:t>（四）配合深交所進行相關核查，及時、真實、準確、完整地提供境外機構投資者開戶資料、授權委托書、資金存取憑證、</w:t>
      </w:r>
    </w:p>
    <w:p w14:paraId="5BC25600" w14:textId="77777777" w:rsidR="00D36BB6" w:rsidRDefault="00D36BB6">
      <w:pPr>
        <w:spacing w:line="326" w:lineRule="auto"/>
        <w:sectPr w:rsidR="00D36BB6">
          <w:pgSz w:w="11910" w:h="16840"/>
          <w:pgMar w:top="1580" w:right="1200" w:bottom="1160" w:left="1480" w:header="0" w:footer="990" w:gutter="0"/>
          <w:cols w:space="720"/>
        </w:sectPr>
      </w:pPr>
    </w:p>
    <w:p w14:paraId="496A1E82" w14:textId="77777777" w:rsidR="00D36BB6" w:rsidRDefault="00D36BB6">
      <w:pPr>
        <w:pStyle w:val="a3"/>
        <w:ind w:left="0"/>
        <w:rPr>
          <w:sz w:val="20"/>
        </w:rPr>
      </w:pPr>
    </w:p>
    <w:p w14:paraId="07213945" w14:textId="77777777" w:rsidR="00D36BB6" w:rsidRDefault="00D36BB6">
      <w:pPr>
        <w:pStyle w:val="a3"/>
        <w:spacing w:before="8"/>
        <w:ind w:left="0"/>
        <w:rPr>
          <w:sz w:val="20"/>
        </w:rPr>
      </w:pPr>
    </w:p>
    <w:p w14:paraId="209ECFF4" w14:textId="16369A6D" w:rsidR="00D36BB6" w:rsidRDefault="00B37A07">
      <w:pPr>
        <w:pStyle w:val="a3"/>
        <w:spacing w:before="55"/>
      </w:pPr>
      <w:r w:rsidRPr="00B37A07">
        <w:rPr>
          <w:rFonts w:eastAsia="PMingLiU" w:hint="eastAsia"/>
          <w:lang w:eastAsia="zh-TW"/>
        </w:rPr>
        <w:t>資金賬戶情况以及相關交易情况說明等資料；</w:t>
      </w:r>
    </w:p>
    <w:p w14:paraId="079C8CD9" w14:textId="72602B9F" w:rsidR="00D36BB6" w:rsidRDefault="00B37A07">
      <w:pPr>
        <w:pStyle w:val="a3"/>
        <w:spacing w:before="149" w:line="328" w:lineRule="auto"/>
        <w:ind w:right="273" w:firstLine="640"/>
      </w:pPr>
      <w:r w:rsidRPr="00B37A07">
        <w:rPr>
          <w:rFonts w:eastAsia="PMingLiU" w:hint="eastAsia"/>
          <w:lang w:eastAsia="zh-TW"/>
        </w:rPr>
        <w:t>（五</w:t>
      </w:r>
      <w:r w:rsidRPr="00B37A07">
        <w:rPr>
          <w:rFonts w:eastAsia="PMingLiU" w:hint="eastAsia"/>
          <w:spacing w:val="-116"/>
          <w:lang w:eastAsia="zh-TW"/>
        </w:rPr>
        <w:t>）</w:t>
      </w:r>
      <w:r w:rsidRPr="00B37A07">
        <w:rPr>
          <w:rFonts w:eastAsia="PMingLiU" w:hint="eastAsia"/>
          <w:spacing w:val="-1"/>
          <w:lang w:eastAsia="zh-TW"/>
        </w:rPr>
        <w:t>深交所會員客戶證券交易行爲管理相關規則規定的其</w:t>
      </w:r>
      <w:r w:rsidRPr="00B37A07">
        <w:rPr>
          <w:rFonts w:eastAsia="PMingLiU" w:hint="eastAsia"/>
          <w:lang w:eastAsia="zh-TW"/>
        </w:rPr>
        <w:t>他客戶交易行爲管理職責。</w:t>
      </w:r>
    </w:p>
    <w:p w14:paraId="1BD42611" w14:textId="41E183C1" w:rsidR="00D36BB6" w:rsidRDefault="00B37A07">
      <w:pPr>
        <w:pStyle w:val="a3"/>
        <w:spacing w:line="328" w:lineRule="auto"/>
        <w:ind w:right="266" w:firstLine="640"/>
        <w:jc w:val="both"/>
      </w:pPr>
      <w:r w:rsidRPr="00B37A07">
        <w:rPr>
          <w:rFonts w:eastAsia="PMingLiU" w:hint="eastAsia"/>
          <w:lang w:eastAsia="zh-TW"/>
        </w:rPr>
        <w:t>第九條</w:t>
      </w:r>
      <w:r w:rsidRPr="00B37A07">
        <w:rPr>
          <w:rFonts w:eastAsia="PMingLiU"/>
          <w:lang w:eastAsia="zh-TW"/>
        </w:rPr>
        <w:t xml:space="preserve"> </w:t>
      </w:r>
      <w:r w:rsidRPr="00B37A07">
        <w:rPr>
          <w:rFonts w:eastAsia="PMingLiU" w:hint="eastAsia"/>
          <w:lang w:eastAsia="zh-TW"/>
        </w:rPr>
        <w:t>接受境外機構投資者委托的交易參與人應當勤勉盡</w:t>
      </w:r>
      <w:r w:rsidRPr="00B37A07">
        <w:rPr>
          <w:rFonts w:eastAsia="PMingLiU" w:hint="eastAsia"/>
          <w:spacing w:val="-11"/>
          <w:lang w:eastAsia="zh-TW"/>
        </w:rPr>
        <w:t>責，加强對境外機構投資者交易行爲的管理。發現境外機構投資</w:t>
      </w:r>
      <w:r w:rsidRPr="00B37A07">
        <w:rPr>
          <w:rFonts w:eastAsia="PMingLiU" w:hint="eastAsia"/>
          <w:spacing w:val="-16"/>
          <w:lang w:eastAsia="zh-TW"/>
        </w:rPr>
        <w:t>者的債券投資活動存在或者可能存在違規行爲的，應當根據證券</w:t>
      </w:r>
      <w:r w:rsidRPr="00B37A07">
        <w:rPr>
          <w:rFonts w:eastAsia="PMingLiU" w:hint="eastAsia"/>
          <w:spacing w:val="6"/>
          <w:w w:val="95"/>
          <w:lang w:eastAsia="zh-TW"/>
        </w:rPr>
        <w:t>交易委托代理協議約定或者相關規定及時采取措施幷向深交所</w:t>
      </w:r>
      <w:r w:rsidRPr="00B37A07">
        <w:rPr>
          <w:rFonts w:eastAsia="PMingLiU"/>
          <w:spacing w:val="6"/>
          <w:w w:val="95"/>
          <w:lang w:eastAsia="zh-TW"/>
        </w:rPr>
        <w:t xml:space="preserve"> </w:t>
      </w:r>
      <w:r w:rsidRPr="00B37A07">
        <w:rPr>
          <w:rFonts w:eastAsia="PMingLiU" w:hint="eastAsia"/>
          <w:spacing w:val="6"/>
          <w:lang w:eastAsia="zh-TW"/>
        </w:rPr>
        <w:t>報告。</w:t>
      </w:r>
    </w:p>
    <w:p w14:paraId="34C52DB9" w14:textId="63693765" w:rsidR="00D36BB6" w:rsidRDefault="00B37A07">
      <w:pPr>
        <w:pStyle w:val="a3"/>
        <w:spacing w:line="328" w:lineRule="auto"/>
        <w:ind w:right="159" w:firstLine="640"/>
      </w:pPr>
      <w:r w:rsidRPr="00B37A07">
        <w:rPr>
          <w:rFonts w:eastAsia="PMingLiU" w:hint="eastAsia"/>
          <w:spacing w:val="-1"/>
          <w:lang w:eastAsia="zh-TW"/>
        </w:rPr>
        <w:t>交易參與人應當在委托代理協議中與境外機構投資者約定，</w:t>
      </w:r>
      <w:r w:rsidRPr="00B37A07">
        <w:rPr>
          <w:rFonts w:eastAsia="PMingLiU"/>
          <w:spacing w:val="-1"/>
          <w:lang w:eastAsia="zh-TW"/>
        </w:rPr>
        <w:t xml:space="preserve"> </w:t>
      </w:r>
      <w:r w:rsidRPr="00B37A07">
        <w:rPr>
          <w:rFonts w:eastAsia="PMingLiU" w:hint="eastAsia"/>
          <w:spacing w:val="-7"/>
          <w:lang w:eastAsia="zh-TW"/>
        </w:rPr>
        <w:t>境外機構投資者存在違法違規使用賬戶、頻繁發生异常交易行爲</w:t>
      </w:r>
      <w:r w:rsidRPr="00B37A07">
        <w:rPr>
          <w:rFonts w:eastAsia="PMingLiU" w:hint="eastAsia"/>
          <w:spacing w:val="-13"/>
          <w:lang w:eastAsia="zh-TW"/>
        </w:rPr>
        <w:t>以及可能嚴重影響正常交易秩序、涉嫌違法違規等情形時，交易參與人可以拒絕其申報委托、或者終止雙方的委托代理關係。</w:t>
      </w:r>
    </w:p>
    <w:p w14:paraId="0B77D9FE" w14:textId="77777777" w:rsidR="00D36BB6" w:rsidRDefault="00D36BB6">
      <w:pPr>
        <w:pStyle w:val="a3"/>
        <w:spacing w:before="6"/>
        <w:ind w:left="0"/>
        <w:rPr>
          <w:sz w:val="39"/>
        </w:rPr>
      </w:pPr>
    </w:p>
    <w:p w14:paraId="0FF29934" w14:textId="518C7276" w:rsidR="00D36BB6" w:rsidRDefault="00B37A07">
      <w:pPr>
        <w:pStyle w:val="a3"/>
        <w:spacing w:before="1"/>
        <w:ind w:left="3330"/>
      </w:pPr>
      <w:r w:rsidRPr="00B37A07">
        <w:rPr>
          <w:rFonts w:eastAsia="PMingLiU" w:hint="eastAsia"/>
          <w:lang w:eastAsia="zh-TW"/>
        </w:rPr>
        <w:t>第四章</w:t>
      </w:r>
      <w:r w:rsidRPr="00B37A07">
        <w:rPr>
          <w:rFonts w:eastAsia="PMingLiU"/>
          <w:lang w:eastAsia="zh-TW"/>
        </w:rPr>
        <w:t xml:space="preserve"> </w:t>
      </w:r>
      <w:r w:rsidRPr="00B37A07">
        <w:rPr>
          <w:rFonts w:eastAsia="PMingLiU" w:hint="eastAsia"/>
          <w:lang w:eastAsia="zh-TW"/>
        </w:rPr>
        <w:t>投資運作</w:t>
      </w:r>
    </w:p>
    <w:p w14:paraId="68EC0EA5" w14:textId="4E483ACB" w:rsidR="00D36BB6" w:rsidRDefault="00B37A07">
      <w:pPr>
        <w:pStyle w:val="a3"/>
        <w:spacing w:before="82" w:line="326" w:lineRule="auto"/>
        <w:ind w:right="266" w:firstLine="640"/>
      </w:pPr>
      <w:r w:rsidRPr="00B37A07">
        <w:rPr>
          <w:rFonts w:eastAsia="PMingLiU" w:hint="eastAsia"/>
          <w:lang w:eastAsia="zh-TW"/>
        </w:rPr>
        <w:t>第十條</w:t>
      </w:r>
      <w:r w:rsidRPr="00B37A07">
        <w:rPr>
          <w:rFonts w:eastAsia="PMingLiU"/>
          <w:lang w:eastAsia="zh-TW"/>
        </w:rPr>
        <w:t xml:space="preserve"> </w:t>
      </w:r>
      <w:r w:rsidRPr="00B37A07">
        <w:rPr>
          <w:rFonts w:eastAsia="PMingLiU" w:hint="eastAsia"/>
          <w:lang w:eastAsia="zh-TW"/>
        </w:rPr>
        <w:t>境外機構投資者可以作爲專業投資者中的機構投資者參與以下品種的發行認購、交易或者轉讓：</w:t>
      </w:r>
    </w:p>
    <w:p w14:paraId="42FAB6F8" w14:textId="461A3271" w:rsidR="00D36BB6" w:rsidRDefault="00B37A07">
      <w:pPr>
        <w:pStyle w:val="a3"/>
        <w:spacing w:before="5"/>
        <w:ind w:left="750"/>
      </w:pPr>
      <w:r w:rsidRPr="00B37A07">
        <w:rPr>
          <w:rFonts w:eastAsia="PMingLiU" w:hint="eastAsia"/>
          <w:spacing w:val="2"/>
          <w:w w:val="99"/>
          <w:lang w:eastAsia="zh-TW"/>
        </w:rPr>
        <w:t>（</w:t>
      </w:r>
      <w:r w:rsidRPr="00B37A07">
        <w:rPr>
          <w:rFonts w:eastAsia="PMingLiU" w:hint="eastAsia"/>
          <w:w w:val="99"/>
          <w:lang w:eastAsia="zh-TW"/>
        </w:rPr>
        <w:t>一）</w:t>
      </w:r>
      <w:r w:rsidRPr="00B37A07">
        <w:rPr>
          <w:rFonts w:eastAsia="PMingLiU" w:hint="eastAsia"/>
          <w:spacing w:val="1"/>
          <w:w w:val="99"/>
          <w:lang w:eastAsia="zh-TW"/>
        </w:rPr>
        <w:t>債券</w:t>
      </w:r>
      <w:r w:rsidRPr="00B37A07">
        <w:rPr>
          <w:rFonts w:eastAsia="PMingLiU" w:hint="eastAsia"/>
          <w:w w:val="99"/>
          <w:lang w:eastAsia="zh-TW"/>
        </w:rPr>
        <w:t>（含可轉換公司債券和可交換公司債券</w:t>
      </w:r>
      <w:r w:rsidRPr="00B37A07">
        <w:rPr>
          <w:rFonts w:eastAsia="PMingLiU" w:hint="eastAsia"/>
          <w:spacing w:val="-161"/>
          <w:w w:val="99"/>
          <w:lang w:eastAsia="zh-TW"/>
        </w:rPr>
        <w:t>）</w:t>
      </w:r>
      <w:r w:rsidRPr="00B37A07">
        <w:rPr>
          <w:rFonts w:eastAsia="PMingLiU" w:hint="eastAsia"/>
          <w:w w:val="99"/>
          <w:lang w:eastAsia="zh-TW"/>
        </w:rPr>
        <w:t>；</w:t>
      </w:r>
    </w:p>
    <w:p w14:paraId="274A1892" w14:textId="4A889FFD" w:rsidR="00D36BB6" w:rsidRDefault="00B37A07">
      <w:pPr>
        <w:pStyle w:val="a3"/>
        <w:spacing w:before="149"/>
        <w:ind w:left="750"/>
      </w:pPr>
      <w:r w:rsidRPr="00B37A07">
        <w:rPr>
          <w:rFonts w:eastAsia="PMingLiU" w:hint="eastAsia"/>
          <w:lang w:eastAsia="zh-TW"/>
        </w:rPr>
        <w:t>（二）資産支持證券；</w:t>
      </w:r>
    </w:p>
    <w:p w14:paraId="609D4FA9" w14:textId="0956C3E0" w:rsidR="00D36BB6" w:rsidRDefault="00B37A07">
      <w:pPr>
        <w:pStyle w:val="a3"/>
        <w:spacing w:before="150"/>
        <w:ind w:left="750"/>
      </w:pPr>
      <w:r w:rsidRPr="00B37A07">
        <w:rPr>
          <w:rFonts w:eastAsia="PMingLiU" w:hint="eastAsia"/>
          <w:lang w:eastAsia="zh-TW"/>
        </w:rPr>
        <w:t>（三）以債券和資産支持證券作爲投資標的的基金；</w:t>
      </w:r>
    </w:p>
    <w:p w14:paraId="0E05F032" w14:textId="37755F87" w:rsidR="00D36BB6" w:rsidRDefault="00B37A07">
      <w:pPr>
        <w:pStyle w:val="a3"/>
        <w:spacing w:before="151"/>
        <w:ind w:left="750"/>
      </w:pPr>
      <w:r w:rsidRPr="00B37A07">
        <w:rPr>
          <w:rFonts w:eastAsia="PMingLiU" w:hint="eastAsia"/>
          <w:lang w:eastAsia="zh-TW"/>
        </w:rPr>
        <w:t>（四）以風險管理爲目的的相關衍生産品；</w:t>
      </w:r>
    </w:p>
    <w:p w14:paraId="14DC73ED" w14:textId="6E877809" w:rsidR="00D36BB6" w:rsidRDefault="00B37A07">
      <w:pPr>
        <w:pStyle w:val="a3"/>
        <w:spacing w:before="150"/>
        <w:ind w:left="750"/>
      </w:pPr>
      <w:r w:rsidRPr="00B37A07">
        <w:rPr>
          <w:rFonts w:eastAsia="PMingLiU" w:hint="eastAsia"/>
          <w:lang w:eastAsia="zh-TW"/>
        </w:rPr>
        <w:t>（五）債券借貸；</w:t>
      </w:r>
    </w:p>
    <w:p w14:paraId="685802B1" w14:textId="4343CD3A" w:rsidR="00D36BB6" w:rsidRDefault="00B37A07">
      <w:pPr>
        <w:pStyle w:val="a3"/>
        <w:spacing w:before="149"/>
        <w:ind w:left="750"/>
      </w:pPr>
      <w:r w:rsidRPr="00B37A07">
        <w:rPr>
          <w:rFonts w:eastAsia="PMingLiU" w:hint="eastAsia"/>
          <w:lang w:eastAsia="zh-TW"/>
        </w:rPr>
        <w:t>（六</w:t>
      </w:r>
      <w:r w:rsidRPr="00B37A07">
        <w:rPr>
          <w:rFonts w:eastAsia="PMingLiU" w:hint="eastAsia"/>
          <w:spacing w:val="-58"/>
          <w:lang w:eastAsia="zh-TW"/>
        </w:rPr>
        <w:t>）</w:t>
      </w:r>
      <w:r w:rsidRPr="00B37A07">
        <w:rPr>
          <w:rFonts w:eastAsia="PMingLiU" w:hint="eastAsia"/>
          <w:spacing w:val="-8"/>
          <w:lang w:eastAsia="zh-TW"/>
        </w:rPr>
        <w:t>中國證監會、中國人民銀行或者深交所認可的其他具</w:t>
      </w:r>
    </w:p>
    <w:p w14:paraId="136C37F7" w14:textId="77777777" w:rsidR="00D36BB6" w:rsidRDefault="00D36BB6">
      <w:pPr>
        <w:sectPr w:rsidR="00D36BB6">
          <w:pgSz w:w="11910" w:h="16840"/>
          <w:pgMar w:top="1580" w:right="1200" w:bottom="1180" w:left="1480" w:header="0" w:footer="971" w:gutter="0"/>
          <w:cols w:space="720"/>
        </w:sectPr>
      </w:pPr>
    </w:p>
    <w:p w14:paraId="39ABB547" w14:textId="77777777" w:rsidR="00D36BB6" w:rsidRDefault="00D36BB6">
      <w:pPr>
        <w:pStyle w:val="a3"/>
        <w:ind w:left="0"/>
        <w:rPr>
          <w:sz w:val="20"/>
        </w:rPr>
      </w:pPr>
    </w:p>
    <w:p w14:paraId="0B5647A0" w14:textId="77777777" w:rsidR="00D36BB6" w:rsidRDefault="00D36BB6">
      <w:pPr>
        <w:pStyle w:val="a3"/>
        <w:spacing w:before="8"/>
        <w:ind w:left="0"/>
        <w:rPr>
          <w:sz w:val="20"/>
        </w:rPr>
      </w:pPr>
    </w:p>
    <w:p w14:paraId="08068F02" w14:textId="77C5DFC9" w:rsidR="00D36BB6" w:rsidRDefault="00B37A07">
      <w:pPr>
        <w:pStyle w:val="a3"/>
        <w:spacing w:before="55"/>
      </w:pPr>
      <w:r w:rsidRPr="00B37A07">
        <w:rPr>
          <w:rFonts w:eastAsia="PMingLiU" w:hint="eastAsia"/>
          <w:lang w:eastAsia="zh-TW"/>
        </w:rPr>
        <w:t>有固定收益特徵的産品或者相關衍生産品。</w:t>
      </w:r>
    </w:p>
    <w:p w14:paraId="7EA8F6F2" w14:textId="1EF66BF9" w:rsidR="00D36BB6" w:rsidRDefault="00B37A07">
      <w:pPr>
        <w:pStyle w:val="a3"/>
        <w:spacing w:before="149" w:line="328" w:lineRule="auto"/>
        <w:ind w:right="270" w:firstLine="640"/>
        <w:jc w:val="both"/>
      </w:pPr>
      <w:r w:rsidRPr="00B37A07">
        <w:rPr>
          <w:rFonts w:eastAsia="PMingLiU" w:hint="eastAsia"/>
          <w:lang w:eastAsia="zh-TW"/>
        </w:rPr>
        <w:t>第十一條</w:t>
      </w:r>
      <w:r w:rsidRPr="00B37A07">
        <w:rPr>
          <w:rFonts w:eastAsia="PMingLiU"/>
          <w:lang w:eastAsia="zh-TW"/>
        </w:rPr>
        <w:t xml:space="preserve"> </w:t>
      </w:r>
      <w:r w:rsidRPr="00B37A07">
        <w:rPr>
          <w:rFonts w:eastAsia="PMingLiU" w:hint="eastAsia"/>
          <w:lang w:eastAsia="zh-TW"/>
        </w:rPr>
        <w:t>境外機構投資者持有的可轉換公司債券或者可交</w:t>
      </w:r>
      <w:r w:rsidRPr="00B37A07">
        <w:rPr>
          <w:rFonts w:eastAsia="PMingLiU" w:hint="eastAsia"/>
          <w:spacing w:val="-10"/>
          <w:lang w:eastAsia="zh-TW"/>
        </w:rPr>
        <w:t>換公司債券需轉股或者換股的，應當通過其合格境外機構投資者</w:t>
      </w:r>
      <w:r w:rsidRPr="00B37A07">
        <w:rPr>
          <w:rFonts w:eastAsia="PMingLiU" w:hint="eastAsia"/>
          <w:spacing w:val="-5"/>
          <w:lang w:eastAsia="zh-TW"/>
        </w:rPr>
        <w:t>或者人民幣合格境外機構投資者</w:t>
      </w:r>
      <w:r w:rsidRPr="00B37A07">
        <w:rPr>
          <w:rFonts w:eastAsia="PMingLiU" w:hint="eastAsia"/>
          <w:lang w:eastAsia="zh-TW"/>
        </w:rPr>
        <w:t>（以下統稱合格境外投資者</w:t>
      </w:r>
      <w:r w:rsidRPr="00B37A07">
        <w:rPr>
          <w:rFonts w:eastAsia="PMingLiU" w:hint="eastAsia"/>
          <w:spacing w:val="-58"/>
          <w:lang w:eastAsia="zh-TW"/>
        </w:rPr>
        <w:t>）</w:t>
      </w:r>
      <w:r w:rsidRPr="00B37A07">
        <w:rPr>
          <w:rFonts w:eastAsia="PMingLiU" w:hint="eastAsia"/>
          <w:lang w:eastAsia="zh-TW"/>
        </w:rPr>
        <w:t>證</w:t>
      </w:r>
      <w:r w:rsidRPr="00B37A07">
        <w:rPr>
          <w:rFonts w:eastAsia="PMingLiU" w:hint="eastAsia"/>
          <w:spacing w:val="-12"/>
          <w:lang w:eastAsia="zh-TW"/>
        </w:rPr>
        <w:t>券賬戶進行轉換，幷遵守法律法規和深交所相關業務規則等關于</w:t>
      </w:r>
      <w:r w:rsidRPr="00B37A07">
        <w:rPr>
          <w:rFonts w:eastAsia="PMingLiU" w:hint="eastAsia"/>
          <w:spacing w:val="-6"/>
          <w:lang w:eastAsia="zh-TW"/>
        </w:rPr>
        <w:t>權益變動以及境外機構投資者持股比例等相關規定，幷按規定履</w:t>
      </w:r>
      <w:r w:rsidRPr="00B37A07">
        <w:rPr>
          <w:rFonts w:eastAsia="PMingLiU" w:hint="eastAsia"/>
          <w:lang w:eastAsia="zh-TW"/>
        </w:rPr>
        <w:t>行信息披露義務。</w:t>
      </w:r>
    </w:p>
    <w:p w14:paraId="33169D19" w14:textId="75B94C06" w:rsidR="00D36BB6" w:rsidRDefault="00B37A07">
      <w:pPr>
        <w:pStyle w:val="a3"/>
        <w:spacing w:line="328" w:lineRule="auto"/>
        <w:ind w:right="267" w:firstLine="640"/>
        <w:jc w:val="both"/>
      </w:pPr>
      <w:r w:rsidRPr="00B37A07">
        <w:rPr>
          <w:rFonts w:eastAsia="PMingLiU" w:hint="eastAsia"/>
          <w:lang w:eastAsia="zh-TW"/>
        </w:rPr>
        <w:t>第十二條</w:t>
      </w:r>
      <w:r w:rsidRPr="00B37A07">
        <w:rPr>
          <w:rFonts w:eastAsia="PMingLiU"/>
          <w:lang w:eastAsia="zh-TW"/>
        </w:rPr>
        <w:t xml:space="preserve"> </w:t>
      </w:r>
      <w:r w:rsidRPr="00B37A07">
        <w:rPr>
          <w:rFonts w:eastAsia="PMingLiU" w:hint="eastAsia"/>
          <w:lang w:eastAsia="zh-TW"/>
        </w:rPr>
        <w:t>境外機構投資者依法發行或者管理的産品參與深</w:t>
      </w:r>
      <w:r w:rsidRPr="00B37A07">
        <w:rPr>
          <w:rFonts w:eastAsia="PMingLiU" w:hint="eastAsia"/>
          <w:spacing w:val="-11"/>
          <w:lang w:eastAsia="zh-TW"/>
        </w:rPr>
        <w:t>交所債券交易的，境外機構投資者應當向産品投資人充分揭示深</w:t>
      </w:r>
      <w:r w:rsidRPr="00B37A07">
        <w:rPr>
          <w:rFonts w:eastAsia="PMingLiU" w:hint="eastAsia"/>
          <w:spacing w:val="-15"/>
          <w:lang w:eastAsia="zh-TW"/>
        </w:rPr>
        <w:t>交所債券市場投資風險，幷與其産品投資人約定遵守相關法律法</w:t>
      </w:r>
      <w:r w:rsidRPr="00B37A07">
        <w:rPr>
          <w:rFonts w:eastAsia="PMingLiU" w:hint="eastAsia"/>
          <w:spacing w:val="-17"/>
          <w:lang w:eastAsia="zh-TW"/>
        </w:rPr>
        <w:t>規以及深交所業務規則，接受交易參與人對境外機構投資者實施的債券交易行爲管理，接受深交所的自律監管。</w:t>
      </w:r>
    </w:p>
    <w:p w14:paraId="0595933D" w14:textId="77777777" w:rsidR="00D36BB6" w:rsidRDefault="00D36BB6">
      <w:pPr>
        <w:pStyle w:val="a3"/>
        <w:spacing w:before="6"/>
        <w:ind w:left="0"/>
        <w:rPr>
          <w:sz w:val="39"/>
        </w:rPr>
      </w:pPr>
    </w:p>
    <w:p w14:paraId="563E45C1" w14:textId="7C70A6FB" w:rsidR="00D36BB6" w:rsidRDefault="00B37A07">
      <w:pPr>
        <w:pStyle w:val="a3"/>
        <w:spacing w:before="1"/>
        <w:ind w:left="2531"/>
        <w:jc w:val="both"/>
      </w:pPr>
      <w:r w:rsidRPr="00B37A07">
        <w:rPr>
          <w:rFonts w:eastAsia="PMingLiU" w:hint="eastAsia"/>
          <w:lang w:eastAsia="zh-TW"/>
        </w:rPr>
        <w:t>第五章</w:t>
      </w:r>
      <w:r w:rsidRPr="00B37A07">
        <w:rPr>
          <w:rFonts w:eastAsia="PMingLiU"/>
          <w:lang w:eastAsia="zh-TW"/>
        </w:rPr>
        <w:t xml:space="preserve"> </w:t>
      </w:r>
      <w:r w:rsidRPr="00B37A07">
        <w:rPr>
          <w:rFonts w:eastAsia="PMingLiU" w:hint="eastAsia"/>
          <w:lang w:eastAsia="zh-TW"/>
        </w:rPr>
        <w:t>證券賬戶及登記結算</w:t>
      </w:r>
    </w:p>
    <w:p w14:paraId="2E06D89A" w14:textId="3B5B71CE" w:rsidR="00D36BB6" w:rsidRDefault="00B37A07">
      <w:pPr>
        <w:pStyle w:val="a3"/>
        <w:spacing w:before="82" w:line="326" w:lineRule="auto"/>
        <w:ind w:right="266" w:firstLine="640"/>
        <w:jc w:val="both"/>
      </w:pPr>
      <w:r w:rsidRPr="00B37A07">
        <w:rPr>
          <w:rFonts w:eastAsia="PMingLiU" w:hint="eastAsia"/>
          <w:lang w:eastAsia="zh-TW"/>
        </w:rPr>
        <w:t>第十三條</w:t>
      </w:r>
      <w:r w:rsidRPr="00B37A07">
        <w:rPr>
          <w:rFonts w:eastAsia="PMingLiU"/>
          <w:lang w:eastAsia="zh-TW"/>
        </w:rPr>
        <w:t xml:space="preserve"> </w:t>
      </w:r>
      <w:r w:rsidRPr="00B37A07">
        <w:rPr>
          <w:rFonts w:eastAsia="PMingLiU" w:hint="eastAsia"/>
          <w:lang w:eastAsia="zh-TW"/>
        </w:rPr>
        <w:t>境外機構投資者應當以法人身份直接參與深交所債券市場，幷在中國結算開立證券賬戶。</w:t>
      </w:r>
    </w:p>
    <w:p w14:paraId="57B05D77" w14:textId="294EBC1C" w:rsidR="00D36BB6" w:rsidRDefault="00B37A07">
      <w:pPr>
        <w:pStyle w:val="a3"/>
        <w:spacing w:before="5" w:line="326" w:lineRule="auto"/>
        <w:ind w:right="274" w:firstLine="640"/>
        <w:jc w:val="both"/>
      </w:pPr>
      <w:r w:rsidRPr="00B37A07">
        <w:rPr>
          <w:rFonts w:eastAsia="PMingLiU" w:hint="eastAsia"/>
          <w:spacing w:val="-6"/>
          <w:lang w:eastAsia="zh-TW"/>
        </w:rPr>
        <w:t>境外機構投資者應當按照中國結算相關業務規則的規定，提</w:t>
      </w:r>
      <w:r w:rsidRPr="00B37A07">
        <w:rPr>
          <w:rFonts w:eastAsia="PMingLiU" w:hint="eastAsia"/>
          <w:spacing w:val="6"/>
          <w:w w:val="95"/>
          <w:lang w:eastAsia="zh-TW"/>
        </w:rPr>
        <w:t>交中國人民銀行或中國人民銀行上海總部出具的備案證明文件</w:t>
      </w:r>
      <w:r w:rsidRPr="00B37A07">
        <w:rPr>
          <w:rFonts w:eastAsia="PMingLiU"/>
          <w:spacing w:val="6"/>
          <w:w w:val="95"/>
          <w:lang w:eastAsia="zh-TW"/>
        </w:rPr>
        <w:t xml:space="preserve"> </w:t>
      </w:r>
      <w:r w:rsidRPr="00B37A07">
        <w:rPr>
          <w:rFonts w:eastAsia="PMingLiU" w:hint="eastAsia"/>
          <w:spacing w:val="6"/>
          <w:lang w:eastAsia="zh-TW"/>
        </w:rPr>
        <w:t>等申請材料。</w:t>
      </w:r>
    </w:p>
    <w:p w14:paraId="23FE900C" w14:textId="6047A282" w:rsidR="00D36BB6" w:rsidRDefault="00B37A07">
      <w:pPr>
        <w:pStyle w:val="a3"/>
        <w:spacing w:before="7" w:line="326" w:lineRule="auto"/>
        <w:ind w:right="273" w:firstLine="640"/>
        <w:jc w:val="both"/>
      </w:pPr>
      <w:r w:rsidRPr="00B37A07">
        <w:rPr>
          <w:rFonts w:eastAsia="PMingLiU" w:hint="eastAsia"/>
          <w:lang w:eastAsia="zh-TW"/>
        </w:rPr>
        <w:t>第十四條</w:t>
      </w:r>
      <w:r w:rsidRPr="00B37A07">
        <w:rPr>
          <w:rFonts w:eastAsia="PMingLiU"/>
          <w:lang w:eastAsia="zh-TW"/>
        </w:rPr>
        <w:t xml:space="preserve"> </w:t>
      </w:r>
      <w:r w:rsidRPr="00B37A07">
        <w:rPr>
          <w:rFonts w:eastAsia="PMingLiU" w:hint="eastAsia"/>
          <w:lang w:eastAsia="zh-TW"/>
        </w:rPr>
        <w:t>境外機構投資者可以根據投資管理需要，按照中</w:t>
      </w:r>
      <w:r w:rsidRPr="00B37A07">
        <w:rPr>
          <w:rFonts w:eastAsia="PMingLiU" w:hint="eastAsia"/>
          <w:w w:val="95"/>
          <w:lang w:eastAsia="zh-TW"/>
        </w:rPr>
        <w:t>國結算相關業務規則辦理其證券賬戶與其合格境外投資者項下</w:t>
      </w:r>
      <w:r w:rsidRPr="00B37A07">
        <w:rPr>
          <w:rFonts w:eastAsia="PMingLiU"/>
          <w:w w:val="95"/>
          <w:lang w:eastAsia="zh-TW"/>
        </w:rPr>
        <w:t xml:space="preserve"> </w:t>
      </w:r>
      <w:r w:rsidRPr="00B37A07">
        <w:rPr>
          <w:rFonts w:eastAsia="PMingLiU" w:hint="eastAsia"/>
          <w:lang w:eastAsia="zh-TW"/>
        </w:rPr>
        <w:t>證券賬戶之間債券等品種的雙向劃轉。可雙向劃轉的品種範圍應</w:t>
      </w:r>
    </w:p>
    <w:p w14:paraId="77E8F2D3" w14:textId="77777777" w:rsidR="00D36BB6" w:rsidRDefault="00D36BB6">
      <w:pPr>
        <w:spacing w:line="326" w:lineRule="auto"/>
        <w:jc w:val="both"/>
        <w:sectPr w:rsidR="00D36BB6">
          <w:pgSz w:w="11910" w:h="16840"/>
          <w:pgMar w:top="1580" w:right="1200" w:bottom="1160" w:left="1480" w:header="0" w:footer="990" w:gutter="0"/>
          <w:cols w:space="720"/>
        </w:sectPr>
      </w:pPr>
    </w:p>
    <w:p w14:paraId="3EB87A05" w14:textId="77777777" w:rsidR="00D36BB6" w:rsidRDefault="00D36BB6">
      <w:pPr>
        <w:pStyle w:val="a3"/>
        <w:ind w:left="0"/>
        <w:rPr>
          <w:sz w:val="20"/>
        </w:rPr>
      </w:pPr>
    </w:p>
    <w:p w14:paraId="462DE4E9" w14:textId="77777777" w:rsidR="00D36BB6" w:rsidRDefault="00D36BB6">
      <w:pPr>
        <w:pStyle w:val="a3"/>
        <w:spacing w:before="8"/>
        <w:ind w:left="0"/>
        <w:rPr>
          <w:sz w:val="20"/>
        </w:rPr>
      </w:pPr>
    </w:p>
    <w:p w14:paraId="69B3A957" w14:textId="0D0B3A90" w:rsidR="00D36BB6" w:rsidRDefault="00B37A07">
      <w:pPr>
        <w:pStyle w:val="a3"/>
        <w:spacing w:before="55" w:line="326" w:lineRule="auto"/>
        <w:ind w:right="280"/>
      </w:pPr>
      <w:r w:rsidRPr="00B37A07">
        <w:rPr>
          <w:rFonts w:eastAsia="PMingLiU" w:hint="eastAsia"/>
          <w:spacing w:val="6"/>
          <w:w w:val="95"/>
          <w:lang w:eastAsia="zh-TW"/>
        </w:rPr>
        <w:t>當與本細則第十條規定的境外機構投資者可交易或轉讓的品種</w:t>
      </w:r>
      <w:r w:rsidRPr="00B37A07">
        <w:rPr>
          <w:rFonts w:eastAsia="PMingLiU"/>
          <w:spacing w:val="6"/>
          <w:w w:val="95"/>
          <w:lang w:eastAsia="zh-TW"/>
        </w:rPr>
        <w:t xml:space="preserve"> </w:t>
      </w:r>
      <w:r w:rsidRPr="00B37A07">
        <w:rPr>
          <w:rFonts w:eastAsia="PMingLiU" w:hint="eastAsia"/>
          <w:lang w:eastAsia="zh-TW"/>
        </w:rPr>
        <w:t>範圍保持一致。</w:t>
      </w:r>
    </w:p>
    <w:p w14:paraId="2C74619F" w14:textId="516D8064" w:rsidR="00D36BB6" w:rsidRDefault="00B37A07">
      <w:pPr>
        <w:pStyle w:val="a3"/>
        <w:spacing w:before="5" w:line="326" w:lineRule="auto"/>
        <w:ind w:right="266" w:firstLine="640"/>
        <w:jc w:val="both"/>
      </w:pPr>
      <w:r w:rsidRPr="00B37A07">
        <w:rPr>
          <w:rFonts w:eastAsia="PMingLiU" w:hint="eastAsia"/>
          <w:lang w:eastAsia="zh-TW"/>
        </w:rPr>
        <w:t>第十五條</w:t>
      </w:r>
      <w:r w:rsidRPr="00B37A07">
        <w:rPr>
          <w:rFonts w:eastAsia="PMingLiU"/>
          <w:lang w:eastAsia="zh-TW"/>
        </w:rPr>
        <w:t xml:space="preserve"> </w:t>
      </w:r>
      <w:r w:rsidRPr="00B37A07">
        <w:rPr>
          <w:rFonts w:eastAsia="PMingLiU" w:hint="eastAsia"/>
          <w:lang w:eastAsia="zh-TW"/>
        </w:rPr>
        <w:t>境內托管人應當就境外機構投資者和合格境外投</w:t>
      </w:r>
      <w:r w:rsidRPr="00B37A07">
        <w:rPr>
          <w:rFonts w:eastAsia="PMingLiU" w:hint="eastAsia"/>
          <w:spacing w:val="6"/>
          <w:w w:val="95"/>
          <w:lang w:eastAsia="zh-TW"/>
        </w:rPr>
        <w:t>資者雙向劃轉所涉債券等品種屬</w:t>
      </w:r>
      <w:r>
        <w:rPr>
          <w:rFonts w:hint="eastAsia"/>
          <w:spacing w:val="6"/>
          <w:w w:val="95"/>
          <w:lang w:eastAsia="zh-TW"/>
        </w:rPr>
        <w:t/>
      </w:r>
      <w:r w:rsidRPr="00B37A07">
        <w:rPr>
          <w:rFonts w:eastAsia="PMingLiU"/>
          <w:spacing w:val="6"/>
          <w:w w:val="95"/>
          <w:lang w:eastAsia="zh-TW"/>
        </w:rPr>
        <w:t>同一境外機構投資者進行認</w:t>
      </w:r>
      <w:r w:rsidRPr="00B37A07">
        <w:rPr>
          <w:rFonts w:eastAsia="PMingLiU"/>
          <w:spacing w:val="6"/>
          <w:w w:val="95"/>
          <w:lang w:eastAsia="zh-TW"/>
        </w:rPr>
        <w:t xml:space="preserve"> </w:t>
      </w:r>
      <w:r w:rsidRPr="00B37A07">
        <w:rPr>
          <w:rFonts w:eastAsia="PMingLiU" w:hint="eastAsia"/>
          <w:spacing w:val="6"/>
          <w:lang w:eastAsia="zh-TW"/>
        </w:rPr>
        <w:t>定。</w:t>
      </w:r>
    </w:p>
    <w:p w14:paraId="07D1E3A3" w14:textId="003B6291" w:rsidR="00D36BB6" w:rsidRDefault="00B37A07">
      <w:pPr>
        <w:pStyle w:val="a3"/>
        <w:spacing w:before="8" w:line="328" w:lineRule="auto"/>
        <w:ind w:right="266" w:firstLine="640"/>
        <w:jc w:val="both"/>
      </w:pPr>
      <w:r w:rsidRPr="00B37A07">
        <w:rPr>
          <w:rFonts w:eastAsia="PMingLiU" w:hint="eastAsia"/>
          <w:lang w:eastAsia="zh-TW"/>
        </w:rPr>
        <w:t>第十六條</w:t>
      </w:r>
      <w:r w:rsidRPr="00B37A07">
        <w:rPr>
          <w:rFonts w:eastAsia="PMingLiU"/>
          <w:lang w:eastAsia="zh-TW"/>
        </w:rPr>
        <w:t xml:space="preserve"> </w:t>
      </w:r>
      <w:r w:rsidRPr="00B37A07">
        <w:rPr>
          <w:rFonts w:eastAsia="PMingLiU" w:hint="eastAsia"/>
          <w:lang w:eastAsia="zh-TW"/>
        </w:rPr>
        <w:t>境外機構投資者直接參與深交所債券市場的，應</w:t>
      </w:r>
      <w:r w:rsidRPr="00B37A07">
        <w:rPr>
          <w:rFonts w:eastAsia="PMingLiU" w:hint="eastAsia"/>
          <w:spacing w:val="6"/>
          <w:w w:val="95"/>
          <w:lang w:eastAsia="zh-TW"/>
        </w:rPr>
        <w:t>當委托具有結算參與人資格的境內證券公司按照經紀業務模式</w:t>
      </w:r>
      <w:r w:rsidRPr="00B37A07">
        <w:rPr>
          <w:rFonts w:eastAsia="PMingLiU"/>
          <w:spacing w:val="6"/>
          <w:w w:val="95"/>
          <w:lang w:eastAsia="zh-TW"/>
        </w:rPr>
        <w:t xml:space="preserve"> </w:t>
      </w:r>
      <w:r w:rsidRPr="00B37A07">
        <w:rPr>
          <w:rFonts w:eastAsia="PMingLiU" w:hint="eastAsia"/>
          <w:spacing w:val="-3"/>
          <w:lang w:eastAsia="zh-TW"/>
        </w:rPr>
        <w:t>辦理相關證券和資金的清算交收。中國結算負責辦理中國結算與</w:t>
      </w:r>
      <w:r w:rsidRPr="00B37A07">
        <w:rPr>
          <w:rFonts w:eastAsia="PMingLiU" w:hint="eastAsia"/>
          <w:spacing w:val="-13"/>
          <w:lang w:eastAsia="zh-TW"/>
        </w:rPr>
        <w:t>結算參與人之間、結算參與人與結算參與人之間的清算交收；結</w:t>
      </w:r>
      <w:r w:rsidRPr="00B37A07">
        <w:rPr>
          <w:rFonts w:eastAsia="PMingLiU" w:hint="eastAsia"/>
          <w:spacing w:val="6"/>
          <w:w w:val="95"/>
          <w:lang w:eastAsia="zh-TW"/>
        </w:rPr>
        <w:t>算參與人負責辦理結算參與人與境外機構投資者之間的清算交</w:t>
      </w:r>
      <w:r w:rsidRPr="00B37A07">
        <w:rPr>
          <w:rFonts w:eastAsia="PMingLiU"/>
          <w:spacing w:val="6"/>
          <w:w w:val="95"/>
          <w:lang w:eastAsia="zh-TW"/>
        </w:rPr>
        <w:t xml:space="preserve"> </w:t>
      </w:r>
      <w:r w:rsidRPr="00B37A07">
        <w:rPr>
          <w:rFonts w:eastAsia="PMingLiU" w:hint="eastAsia"/>
          <w:spacing w:val="6"/>
          <w:lang w:eastAsia="zh-TW"/>
        </w:rPr>
        <w:t>收。</w:t>
      </w:r>
    </w:p>
    <w:p w14:paraId="1A1693A6" w14:textId="77777777" w:rsidR="00D36BB6" w:rsidRDefault="00D36BB6">
      <w:pPr>
        <w:pStyle w:val="a3"/>
        <w:spacing w:before="1"/>
        <w:ind w:left="0"/>
        <w:rPr>
          <w:sz w:val="40"/>
        </w:rPr>
      </w:pPr>
    </w:p>
    <w:p w14:paraId="6F2AF9F4" w14:textId="56332BDA" w:rsidR="00D36BB6" w:rsidRDefault="00B37A07">
      <w:pPr>
        <w:pStyle w:val="a3"/>
        <w:ind w:left="3330"/>
        <w:jc w:val="both"/>
      </w:pPr>
      <w:r w:rsidRPr="00B37A07">
        <w:rPr>
          <w:rFonts w:eastAsia="PMingLiU" w:hint="eastAsia"/>
          <w:lang w:eastAsia="zh-TW"/>
        </w:rPr>
        <w:t>第六章</w:t>
      </w:r>
      <w:r w:rsidRPr="00B37A07">
        <w:rPr>
          <w:rFonts w:eastAsia="PMingLiU"/>
          <w:lang w:eastAsia="zh-TW"/>
        </w:rPr>
        <w:t xml:space="preserve"> </w:t>
      </w:r>
      <w:r w:rsidRPr="00B37A07">
        <w:rPr>
          <w:rFonts w:eastAsia="PMingLiU" w:hint="eastAsia"/>
          <w:lang w:eastAsia="zh-TW"/>
        </w:rPr>
        <w:t>自律監管</w:t>
      </w:r>
    </w:p>
    <w:p w14:paraId="5EC3FDC0" w14:textId="05A93D2A" w:rsidR="00D36BB6" w:rsidRDefault="00B37A07">
      <w:pPr>
        <w:pStyle w:val="a3"/>
        <w:spacing w:before="82" w:line="326" w:lineRule="auto"/>
        <w:ind w:right="264" w:firstLine="640"/>
        <w:jc w:val="both"/>
      </w:pPr>
      <w:r w:rsidRPr="00B37A07">
        <w:rPr>
          <w:rFonts w:eastAsia="PMingLiU" w:hint="eastAsia"/>
          <w:lang w:eastAsia="zh-TW"/>
        </w:rPr>
        <w:t>第十七條</w:t>
      </w:r>
      <w:r w:rsidRPr="00B37A07">
        <w:rPr>
          <w:rFonts w:eastAsia="PMingLiU"/>
          <w:lang w:eastAsia="zh-TW"/>
        </w:rPr>
        <w:t xml:space="preserve"> </w:t>
      </w:r>
      <w:r w:rsidRPr="00B37A07">
        <w:rPr>
          <w:rFonts w:eastAsia="PMingLiU" w:hint="eastAsia"/>
          <w:lang w:eastAsia="zh-TW"/>
        </w:rPr>
        <w:t>深交所依法對境外機構投資者參與深交所債券投</w:t>
      </w:r>
      <w:r w:rsidRPr="00B37A07">
        <w:rPr>
          <w:rFonts w:eastAsia="PMingLiU" w:hint="eastAsia"/>
          <w:spacing w:val="-11"/>
          <w:lang w:eastAsia="zh-TW"/>
        </w:rPr>
        <w:t>資活動進行實時監控，對其异常交易行爲予以監測分析和重點監</w:t>
      </w:r>
      <w:r w:rsidRPr="00B37A07">
        <w:rPr>
          <w:rFonts w:eastAsia="PMingLiU" w:hint="eastAsia"/>
          <w:spacing w:val="-9"/>
          <w:lang w:eastAsia="zh-TW"/>
        </w:rPr>
        <w:t>控，幷采取相應的自律監管措施或者紀律處分。</w:t>
      </w:r>
    </w:p>
    <w:p w14:paraId="1FEA8F2F" w14:textId="0E1E453F" w:rsidR="00D36BB6" w:rsidRDefault="00B37A07">
      <w:pPr>
        <w:pStyle w:val="a3"/>
        <w:spacing w:before="60" w:line="328" w:lineRule="auto"/>
        <w:ind w:right="268" w:firstLine="640"/>
        <w:jc w:val="both"/>
      </w:pPr>
      <w:r w:rsidRPr="00B37A07">
        <w:rPr>
          <w:rFonts w:eastAsia="PMingLiU" w:hint="eastAsia"/>
          <w:lang w:eastAsia="zh-TW"/>
        </w:rPr>
        <w:t>第十八條</w:t>
      </w:r>
      <w:r w:rsidRPr="00B37A07">
        <w:rPr>
          <w:rFonts w:eastAsia="PMingLiU"/>
          <w:lang w:eastAsia="zh-TW"/>
        </w:rPr>
        <w:t xml:space="preserve"> </w:t>
      </w:r>
      <w:r w:rsidRPr="00B37A07">
        <w:rPr>
          <w:rFonts w:eastAsia="PMingLiU" w:hint="eastAsia"/>
          <w:lang w:eastAsia="zh-TW"/>
        </w:rPr>
        <w:t>境外機構投資者或者其産品投資人、境外機構投</w:t>
      </w:r>
      <w:r w:rsidRPr="00B37A07">
        <w:rPr>
          <w:rFonts w:eastAsia="PMingLiU" w:hint="eastAsia"/>
          <w:spacing w:val="-6"/>
          <w:lang w:eastAsia="zh-TW"/>
        </w:rPr>
        <w:t>資者委托的交易參與人和托管人出現下列情形之一的，深交所可</w:t>
      </w:r>
      <w:r w:rsidRPr="00B37A07">
        <w:rPr>
          <w:rFonts w:eastAsia="PMingLiU" w:hint="eastAsia"/>
          <w:spacing w:val="-7"/>
          <w:w w:val="95"/>
          <w:lang w:eastAsia="zh-TW"/>
        </w:rPr>
        <w:t>以采取相應的自律監管措施或者紀律處分，情節嚴重的，報中國</w:t>
      </w:r>
      <w:r w:rsidRPr="00B37A07">
        <w:rPr>
          <w:rFonts w:eastAsia="PMingLiU"/>
          <w:spacing w:val="-7"/>
          <w:w w:val="95"/>
          <w:lang w:eastAsia="zh-TW"/>
        </w:rPr>
        <w:t xml:space="preserve"> </w:t>
      </w:r>
      <w:r w:rsidRPr="00B37A07">
        <w:rPr>
          <w:rFonts w:eastAsia="PMingLiU" w:hint="eastAsia"/>
          <w:spacing w:val="-7"/>
          <w:lang w:eastAsia="zh-TW"/>
        </w:rPr>
        <w:t>證監會查處：</w:t>
      </w:r>
    </w:p>
    <w:p w14:paraId="0483CF27" w14:textId="2480CA7A" w:rsidR="00D36BB6" w:rsidRDefault="00B37A07">
      <w:pPr>
        <w:pStyle w:val="a3"/>
        <w:spacing w:line="403" w:lineRule="exact"/>
        <w:ind w:left="750"/>
      </w:pPr>
      <w:r w:rsidRPr="00B37A07">
        <w:rPr>
          <w:rFonts w:eastAsia="PMingLiU" w:hint="eastAsia"/>
          <w:lang w:eastAsia="zh-TW"/>
        </w:rPr>
        <w:t>（一）境外機構投資者或者其産品投資人發生异常交易；</w:t>
      </w:r>
    </w:p>
    <w:p w14:paraId="4FAEACCF" w14:textId="06A981D9" w:rsidR="00D36BB6" w:rsidRDefault="00B37A07">
      <w:pPr>
        <w:pStyle w:val="a3"/>
        <w:spacing w:before="149"/>
        <w:ind w:left="750"/>
      </w:pPr>
      <w:r w:rsidRPr="00B37A07">
        <w:rPr>
          <w:rFonts w:eastAsia="PMingLiU" w:hint="eastAsia"/>
          <w:lang w:eastAsia="zh-TW"/>
        </w:rPr>
        <w:t>（二）交易參與人、托管人未盡勤勉盡責義務的，存在未及</w:t>
      </w:r>
    </w:p>
    <w:p w14:paraId="7B287064" w14:textId="77777777" w:rsidR="00D36BB6" w:rsidRDefault="00D36BB6">
      <w:pPr>
        <w:sectPr w:rsidR="00D36BB6">
          <w:pgSz w:w="11910" w:h="16840"/>
          <w:pgMar w:top="1580" w:right="1200" w:bottom="1180" w:left="1480" w:header="0" w:footer="971" w:gutter="0"/>
          <w:cols w:space="720"/>
        </w:sectPr>
      </w:pPr>
    </w:p>
    <w:p w14:paraId="596C9B72" w14:textId="77777777" w:rsidR="00D36BB6" w:rsidRDefault="00D36BB6">
      <w:pPr>
        <w:pStyle w:val="a3"/>
        <w:ind w:left="0"/>
        <w:rPr>
          <w:sz w:val="20"/>
        </w:rPr>
      </w:pPr>
    </w:p>
    <w:p w14:paraId="36944CA4" w14:textId="77777777" w:rsidR="00D36BB6" w:rsidRDefault="00D36BB6">
      <w:pPr>
        <w:pStyle w:val="a3"/>
        <w:spacing w:before="10"/>
        <w:ind w:left="0"/>
        <w:rPr>
          <w:sz w:val="24"/>
        </w:rPr>
      </w:pPr>
    </w:p>
    <w:p w14:paraId="724CFC74" w14:textId="510C33A5" w:rsidR="00D36BB6" w:rsidRDefault="00B37A07">
      <w:pPr>
        <w:pStyle w:val="a3"/>
        <w:spacing w:before="54"/>
      </w:pPr>
      <w:r w:rsidRPr="00B37A07">
        <w:rPr>
          <w:rFonts w:eastAsia="PMingLiU" w:hint="eastAsia"/>
          <w:lang w:eastAsia="zh-TW"/>
        </w:rPr>
        <w:t>時報送信息、未及時采取有效措施等情形的；</w:t>
      </w:r>
    </w:p>
    <w:p w14:paraId="0E7DD5EB" w14:textId="6419E94F" w:rsidR="00D36BB6" w:rsidRDefault="00B37A07">
      <w:pPr>
        <w:pStyle w:val="a3"/>
        <w:spacing w:before="150" w:line="328" w:lineRule="auto"/>
        <w:ind w:right="271" w:firstLine="640"/>
        <w:jc w:val="both"/>
      </w:pPr>
      <w:r w:rsidRPr="00B37A07">
        <w:rPr>
          <w:rFonts w:eastAsia="PMingLiU" w:hint="eastAsia"/>
          <w:lang w:eastAsia="zh-TW"/>
        </w:rPr>
        <w:t>（三</w:t>
      </w:r>
      <w:r w:rsidRPr="00B37A07">
        <w:rPr>
          <w:rFonts w:eastAsia="PMingLiU" w:hint="eastAsia"/>
          <w:spacing w:val="-58"/>
          <w:lang w:eastAsia="zh-TW"/>
        </w:rPr>
        <w:t>）</w:t>
      </w:r>
      <w:r w:rsidRPr="00B37A07">
        <w:rPr>
          <w:rFonts w:eastAsia="PMingLiU" w:hint="eastAsia"/>
          <w:spacing w:val="-5"/>
          <w:lang w:eastAsia="zh-TW"/>
        </w:rPr>
        <w:t>境外機構投資者或者其産品投資人、境外機構投資者</w:t>
      </w:r>
      <w:r w:rsidRPr="00B37A07">
        <w:rPr>
          <w:rFonts w:eastAsia="PMingLiU" w:hint="eastAsia"/>
          <w:spacing w:val="-6"/>
          <w:lang w:eastAsia="zh-TW"/>
        </w:rPr>
        <w:t>委托的交易參與人和托管人發生其他違反法律法規、本細則以及</w:t>
      </w:r>
      <w:r w:rsidRPr="00B37A07">
        <w:rPr>
          <w:rFonts w:eastAsia="PMingLiU" w:hint="eastAsia"/>
          <w:lang w:eastAsia="zh-TW"/>
        </w:rPr>
        <w:t>深交所規定的其他情形。</w:t>
      </w:r>
    </w:p>
    <w:p w14:paraId="0C8461E1" w14:textId="77777777" w:rsidR="00D36BB6" w:rsidRDefault="00D36BB6">
      <w:pPr>
        <w:pStyle w:val="a3"/>
        <w:spacing w:before="3"/>
        <w:ind w:left="0"/>
        <w:rPr>
          <w:sz w:val="36"/>
        </w:rPr>
      </w:pPr>
    </w:p>
    <w:p w14:paraId="4DABAF7B" w14:textId="77D831D8" w:rsidR="00D36BB6" w:rsidRDefault="00B37A07">
      <w:pPr>
        <w:pStyle w:val="a3"/>
        <w:spacing w:before="1"/>
        <w:ind w:left="3652"/>
      </w:pPr>
      <w:r w:rsidRPr="00B37A07">
        <w:rPr>
          <w:rFonts w:eastAsia="PMingLiU" w:hint="eastAsia"/>
          <w:lang w:eastAsia="zh-TW"/>
        </w:rPr>
        <w:t>第七章</w:t>
      </w:r>
      <w:r w:rsidRPr="00B37A07">
        <w:rPr>
          <w:rFonts w:eastAsia="PMingLiU"/>
          <w:lang w:eastAsia="zh-TW"/>
        </w:rPr>
        <w:t xml:space="preserve"> </w:t>
      </w:r>
      <w:r w:rsidRPr="00B37A07">
        <w:rPr>
          <w:rFonts w:eastAsia="PMingLiU" w:hint="eastAsia"/>
          <w:lang w:eastAsia="zh-TW"/>
        </w:rPr>
        <w:t>附則</w:t>
      </w:r>
    </w:p>
    <w:p w14:paraId="4E77EB1B" w14:textId="465ECF4B" w:rsidR="00D36BB6" w:rsidRDefault="00B37A07">
      <w:pPr>
        <w:pStyle w:val="a3"/>
        <w:spacing w:before="135" w:line="328" w:lineRule="auto"/>
        <w:ind w:right="113" w:firstLine="640"/>
      </w:pPr>
      <w:r w:rsidRPr="00B37A07">
        <w:rPr>
          <w:rFonts w:eastAsia="PMingLiU" w:hint="eastAsia"/>
          <w:lang w:eastAsia="zh-TW"/>
        </w:rPr>
        <w:t>第十九條</w:t>
      </w:r>
      <w:r w:rsidRPr="00B37A07">
        <w:rPr>
          <w:rFonts w:eastAsia="PMingLiU"/>
          <w:lang w:eastAsia="zh-TW"/>
        </w:rPr>
        <w:t xml:space="preserve"> </w:t>
      </w:r>
      <w:r w:rsidRPr="00B37A07">
        <w:rPr>
          <w:rFonts w:eastAsia="PMingLiU" w:hint="eastAsia"/>
          <w:lang w:eastAsia="zh-TW"/>
        </w:rPr>
        <w:t>因不可抗力、意外事件、重大技術故障、重大人爲差錯等突發性事件，影響債券交易或者登記結算正常進行的，</w:t>
      </w:r>
      <w:r w:rsidRPr="00B37A07">
        <w:rPr>
          <w:rFonts w:eastAsia="PMingLiU"/>
          <w:lang w:eastAsia="zh-TW"/>
        </w:rPr>
        <w:t xml:space="preserve"> </w:t>
      </w:r>
      <w:r w:rsidRPr="00B37A07">
        <w:rPr>
          <w:rFonts w:eastAsia="PMingLiU" w:hint="eastAsia"/>
          <w:spacing w:val="-5"/>
          <w:lang w:eastAsia="zh-TW"/>
        </w:rPr>
        <w:t>爲維護債券交易或者登記結算正常秩序和市場公平，深交所和中</w:t>
      </w:r>
      <w:r w:rsidRPr="00B37A07">
        <w:rPr>
          <w:rFonts w:eastAsia="PMingLiU" w:hint="eastAsia"/>
          <w:spacing w:val="-18"/>
          <w:lang w:eastAsia="zh-TW"/>
        </w:rPr>
        <w:t>國結算可以依據業務規則采取技術性停牌、臨時停市、取消交易、</w:t>
      </w:r>
      <w:r w:rsidRPr="00B37A07">
        <w:rPr>
          <w:rFonts w:eastAsia="PMingLiU" w:hint="eastAsia"/>
          <w:spacing w:val="-11"/>
          <w:lang w:eastAsia="zh-TW"/>
        </w:rPr>
        <w:t>暫緩交收等處置措施。因采取相關處置措施給有關市場主體造成</w:t>
      </w:r>
      <w:r w:rsidRPr="00B37A07">
        <w:rPr>
          <w:rFonts w:eastAsia="PMingLiU" w:hint="eastAsia"/>
          <w:spacing w:val="-14"/>
          <w:lang w:eastAsia="zh-TW"/>
        </w:rPr>
        <w:t>損失的，深交所、中國結算不承擔民事賠償責任，但存在重大過錯的除外。</w:t>
      </w:r>
    </w:p>
    <w:p w14:paraId="69835A73" w14:textId="4FF1868B" w:rsidR="00D36BB6" w:rsidRDefault="00B37A07">
      <w:pPr>
        <w:pStyle w:val="a3"/>
        <w:spacing w:line="326" w:lineRule="auto"/>
        <w:ind w:right="266" w:firstLine="640"/>
        <w:jc w:val="both"/>
      </w:pPr>
      <w:r w:rsidRPr="00B37A07">
        <w:rPr>
          <w:rFonts w:eastAsia="PMingLiU" w:hint="eastAsia"/>
          <w:lang w:eastAsia="zh-TW"/>
        </w:rPr>
        <w:t>第二十條</w:t>
      </w:r>
      <w:r w:rsidRPr="00B37A07">
        <w:rPr>
          <w:rFonts w:eastAsia="PMingLiU"/>
          <w:lang w:eastAsia="zh-TW"/>
        </w:rPr>
        <w:t xml:space="preserve"> </w:t>
      </w:r>
      <w:r w:rsidRPr="00B37A07">
        <w:rPr>
          <w:rFonts w:eastAsia="PMingLiU" w:hint="eastAsia"/>
          <w:lang w:eastAsia="zh-TW"/>
        </w:rPr>
        <w:t>交易參與人、結算參與人、托管人應當完整保存</w:t>
      </w:r>
      <w:r w:rsidRPr="00B37A07">
        <w:rPr>
          <w:rFonts w:eastAsia="PMingLiU" w:hint="eastAsia"/>
          <w:spacing w:val="-8"/>
          <w:lang w:eastAsia="zh-TW"/>
        </w:rPr>
        <w:t>境外機構投資者的托管、委托、交易、賬戶、登記、結算記錄等資料，且保存時間不少于二十年。</w:t>
      </w:r>
    </w:p>
    <w:p w14:paraId="6F31E057" w14:textId="32F35792" w:rsidR="00D36BB6" w:rsidRDefault="00B37A07">
      <w:pPr>
        <w:pStyle w:val="a3"/>
        <w:spacing w:line="326" w:lineRule="auto"/>
        <w:ind w:right="264" w:firstLine="640"/>
        <w:jc w:val="both"/>
      </w:pPr>
      <w:r w:rsidRPr="00B37A07">
        <w:rPr>
          <w:rFonts w:eastAsia="PMingLiU" w:hint="eastAsia"/>
          <w:lang w:eastAsia="zh-TW"/>
        </w:rPr>
        <w:t>第二十一條</w:t>
      </w:r>
      <w:r w:rsidRPr="00B37A07">
        <w:rPr>
          <w:rFonts w:eastAsia="PMingLiU"/>
          <w:lang w:eastAsia="zh-TW"/>
        </w:rPr>
        <w:t xml:space="preserve"> </w:t>
      </w:r>
      <w:r w:rsidRPr="00B37A07">
        <w:rPr>
          <w:rFonts w:eastAsia="PMingLiU" w:hint="eastAsia"/>
          <w:lang w:eastAsia="zh-TW"/>
        </w:rPr>
        <w:t>境外機構投資者參與深交所債券交易、賬戶、</w:t>
      </w:r>
      <w:r w:rsidRPr="00B37A07">
        <w:rPr>
          <w:rFonts w:eastAsia="PMingLiU" w:hint="eastAsia"/>
          <w:spacing w:val="-11"/>
          <w:lang w:eastAsia="zh-TW"/>
        </w:rPr>
        <w:t>登記、結算相關費用，按照中國證監會、深交所、中國結算費用標準收取。</w:t>
      </w:r>
    </w:p>
    <w:p w14:paraId="67785F64" w14:textId="48786673" w:rsidR="00D36BB6" w:rsidRDefault="00B37A07">
      <w:pPr>
        <w:pStyle w:val="a3"/>
        <w:spacing w:before="5" w:line="328" w:lineRule="auto"/>
        <w:ind w:right="274" w:firstLine="640"/>
      </w:pPr>
      <w:r w:rsidRPr="00B37A07">
        <w:rPr>
          <w:rFonts w:eastAsia="PMingLiU" w:hint="eastAsia"/>
          <w:spacing w:val="-8"/>
          <w:lang w:eastAsia="zh-TW"/>
        </w:rPr>
        <w:t>境外機構投資者債券交易相關稅收安排，按照國家有關規定</w:t>
      </w:r>
      <w:r w:rsidRPr="00B37A07">
        <w:rPr>
          <w:rFonts w:eastAsia="PMingLiU" w:hint="eastAsia"/>
          <w:lang w:eastAsia="zh-TW"/>
        </w:rPr>
        <w:t>執行。</w:t>
      </w:r>
    </w:p>
    <w:p w14:paraId="0FF06DDA" w14:textId="173252D2" w:rsidR="00D36BB6" w:rsidRDefault="00B37A07">
      <w:pPr>
        <w:pStyle w:val="a3"/>
        <w:spacing w:line="406" w:lineRule="exact"/>
        <w:ind w:left="750"/>
      </w:pPr>
      <w:r w:rsidRPr="00B37A07">
        <w:rPr>
          <w:rFonts w:eastAsia="PMingLiU" w:hint="eastAsia"/>
          <w:lang w:eastAsia="zh-TW"/>
        </w:rPr>
        <w:t>第二十二條</w:t>
      </w:r>
      <w:r w:rsidRPr="00B37A07">
        <w:rPr>
          <w:rFonts w:eastAsia="PMingLiU"/>
          <w:lang w:eastAsia="zh-TW"/>
        </w:rPr>
        <w:t xml:space="preserve"> </w:t>
      </w:r>
      <w:r w:rsidRPr="00B37A07">
        <w:rPr>
          <w:rFonts w:eastAsia="PMingLiU" w:hint="eastAsia"/>
          <w:lang w:eastAsia="zh-TW"/>
        </w:rPr>
        <w:t>本細則由深交所和中國結算負責解釋。</w:t>
      </w:r>
    </w:p>
    <w:p w14:paraId="15B2F49A" w14:textId="77777777" w:rsidR="00D36BB6" w:rsidRDefault="00D36BB6">
      <w:pPr>
        <w:spacing w:line="406" w:lineRule="exact"/>
        <w:sectPr w:rsidR="00D36BB6">
          <w:pgSz w:w="11910" w:h="16840"/>
          <w:pgMar w:top="1580" w:right="1200" w:bottom="1160" w:left="1480" w:header="0" w:footer="990" w:gutter="0"/>
          <w:cols w:space="720"/>
        </w:sectPr>
      </w:pPr>
    </w:p>
    <w:p w14:paraId="0D5E7876" w14:textId="77777777" w:rsidR="00D36BB6" w:rsidRDefault="00D36BB6">
      <w:pPr>
        <w:pStyle w:val="a3"/>
        <w:ind w:left="0"/>
        <w:rPr>
          <w:sz w:val="20"/>
        </w:rPr>
      </w:pPr>
    </w:p>
    <w:p w14:paraId="7C400966" w14:textId="77777777" w:rsidR="00D36BB6" w:rsidRDefault="00D36BB6">
      <w:pPr>
        <w:pStyle w:val="a3"/>
        <w:spacing w:before="10"/>
        <w:ind w:left="0"/>
        <w:rPr>
          <w:sz w:val="24"/>
        </w:rPr>
      </w:pPr>
    </w:p>
    <w:p w14:paraId="3FB599A5" w14:textId="1803F74F" w:rsidR="00D36BB6" w:rsidRDefault="00B37A07">
      <w:pPr>
        <w:pStyle w:val="a3"/>
        <w:spacing w:before="54"/>
        <w:ind w:left="750"/>
      </w:pPr>
      <w:r w:rsidRPr="00B37A07">
        <w:rPr>
          <w:rFonts w:eastAsia="PMingLiU" w:hint="eastAsia"/>
          <w:spacing w:val="-9"/>
          <w:lang w:eastAsia="zh-TW"/>
        </w:rPr>
        <w:t>第二十三條</w:t>
      </w:r>
      <w:r w:rsidRPr="00B37A07">
        <w:rPr>
          <w:rFonts w:eastAsia="PMingLiU"/>
          <w:spacing w:val="-9"/>
          <w:lang w:eastAsia="zh-TW"/>
        </w:rPr>
        <w:t xml:space="preserve"> </w:t>
      </w:r>
      <w:r w:rsidRPr="00B37A07">
        <w:rPr>
          <w:rFonts w:eastAsia="PMingLiU" w:hint="eastAsia"/>
          <w:spacing w:val="-9"/>
          <w:lang w:eastAsia="zh-TW"/>
        </w:rPr>
        <w:t>本細則自</w:t>
      </w:r>
      <w:r w:rsidRPr="00B37A07">
        <w:rPr>
          <w:rFonts w:eastAsia="PMingLiU"/>
          <w:spacing w:val="-9"/>
          <w:lang w:eastAsia="zh-TW"/>
        </w:rPr>
        <w:t xml:space="preserve"> </w:t>
      </w:r>
      <w:r w:rsidRPr="00B37A07">
        <w:rPr>
          <w:rFonts w:eastAsia="PMingLiU"/>
          <w:lang w:eastAsia="zh-TW"/>
        </w:rPr>
        <w:t>2022</w:t>
      </w:r>
      <w:r w:rsidRPr="00B37A07">
        <w:rPr>
          <w:rFonts w:eastAsia="PMingLiU"/>
          <w:spacing w:val="-53"/>
          <w:lang w:eastAsia="zh-TW"/>
        </w:rPr>
        <w:t xml:space="preserve"> </w:t>
      </w:r>
      <w:r w:rsidRPr="00B37A07">
        <w:rPr>
          <w:rFonts w:eastAsia="PMingLiU" w:hint="eastAsia"/>
          <w:spacing w:val="-53"/>
          <w:lang w:eastAsia="zh-TW"/>
        </w:rPr>
        <w:t>年</w:t>
      </w:r>
      <w:r w:rsidRPr="00B37A07">
        <w:rPr>
          <w:rFonts w:eastAsia="PMingLiU"/>
          <w:spacing w:val="-53"/>
          <w:lang w:eastAsia="zh-TW"/>
        </w:rPr>
        <w:t xml:space="preserve"> </w:t>
      </w:r>
      <w:r w:rsidRPr="00B37A07">
        <w:rPr>
          <w:rFonts w:eastAsia="PMingLiU"/>
          <w:lang w:eastAsia="zh-TW"/>
        </w:rPr>
        <w:t>6</w:t>
      </w:r>
      <w:r w:rsidRPr="00B37A07">
        <w:rPr>
          <w:rFonts w:eastAsia="PMingLiU"/>
          <w:spacing w:val="-55"/>
          <w:lang w:eastAsia="zh-TW"/>
        </w:rPr>
        <w:t xml:space="preserve"> </w:t>
      </w:r>
      <w:r w:rsidRPr="00B37A07">
        <w:rPr>
          <w:rFonts w:eastAsia="PMingLiU" w:hint="eastAsia"/>
          <w:spacing w:val="-55"/>
          <w:lang w:eastAsia="zh-TW"/>
        </w:rPr>
        <w:t>月</w:t>
      </w:r>
      <w:r w:rsidRPr="00B37A07">
        <w:rPr>
          <w:rFonts w:eastAsia="PMingLiU"/>
          <w:spacing w:val="-55"/>
          <w:lang w:eastAsia="zh-TW"/>
        </w:rPr>
        <w:t xml:space="preserve"> </w:t>
      </w:r>
      <w:r w:rsidRPr="00B37A07">
        <w:rPr>
          <w:rFonts w:eastAsia="PMingLiU"/>
          <w:lang w:eastAsia="zh-TW"/>
        </w:rPr>
        <w:t>30</w:t>
      </w:r>
      <w:r w:rsidRPr="00B37A07">
        <w:rPr>
          <w:rFonts w:eastAsia="PMingLiU"/>
          <w:spacing w:val="-15"/>
          <w:lang w:eastAsia="zh-TW"/>
        </w:rPr>
        <w:t xml:space="preserve"> </w:t>
      </w:r>
      <w:r w:rsidRPr="00B37A07">
        <w:rPr>
          <w:rFonts w:eastAsia="PMingLiU" w:hint="eastAsia"/>
          <w:spacing w:val="-15"/>
          <w:lang w:eastAsia="zh-TW"/>
        </w:rPr>
        <w:t>日起施行。</w:t>
      </w:r>
    </w:p>
    <w:sectPr w:rsidR="00D36BB6">
      <w:pgSz w:w="11910" w:h="16840"/>
      <w:pgMar w:top="1580" w:right="1200" w:bottom="1180" w:left="14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A29D" w14:textId="77777777" w:rsidR="004D39D2" w:rsidRDefault="004D39D2">
      <w:r>
        <w:separator/>
      </w:r>
    </w:p>
  </w:endnote>
  <w:endnote w:type="continuationSeparator" w:id="0">
    <w:p w14:paraId="3CBBBA7B" w14:textId="77777777" w:rsidR="004D39D2" w:rsidRDefault="004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1"/>
    <w:family w:val="swiss"/>
    <w:pitch w:val="variable"/>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F6" w14:textId="77777777" w:rsidR="00D36BB6" w:rsidRDefault="00000000">
    <w:pPr>
      <w:pStyle w:val="a3"/>
      <w:spacing w:line="14" w:lineRule="auto"/>
      <w:ind w:left="0"/>
      <w:rPr>
        <w:sz w:val="20"/>
      </w:rPr>
    </w:pPr>
    <w:r>
      <w:pict w14:anchorId="37415CB5">
        <v:shapetype id="_x0000_t202" coordsize="21600,21600" o:spt="202" path="m,l,21600r21600,l21600,xe">
          <v:stroke joinstyle="miter"/>
          <v:path gradientshapeok="t" o:connecttype="rect"/>
        </v:shapetype>
        <v:shape id="_x0000_s1025" type="#_x0000_t202" style="position:absolute;margin-left:92.75pt;margin-top:781.45pt;width:54.1pt;height:16.05pt;z-index:-15799296;mso-position-horizontal-relative:page;mso-position-vertical-relative:page" filled="f" stroked="f">
          <v:textbox inset="0,0,0,0">
            <w:txbxContent>
              <w:p w14:paraId="32083523" w14:textId="2E064F11" w:rsidR="00D36BB6" w:rsidRDefault="00B37A07">
                <w:pPr>
                  <w:spacing w:line="321" w:lineRule="exact"/>
                  <w:ind w:left="20"/>
                  <w:rPr>
                    <w:sz w:val="28"/>
                  </w:rPr>
                </w:pPr>
                <w:r w:rsidRPr="00B37A07">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B37A07">
                  <w:rPr>
                    <w:rFonts w:eastAsia="PMingLiU"/>
                    <w:lang w:eastAsia="zh-TW"/>
                  </w:rPr>
                  <w:t>2</w:t>
                </w:r>
                <w:r w:rsidR="00000000">
                  <w:fldChar w:fldCharType="end"/>
                </w:r>
                <w:r w:rsidRPr="00B37A07">
                  <w:rPr>
                    <w:rFonts w:eastAsia="PMingLiU"/>
                    <w:sz w:val="28"/>
                    <w:lang w:eastAsia="zh-TW"/>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CA45" w14:textId="77777777" w:rsidR="00D36BB6" w:rsidRDefault="00000000">
    <w:pPr>
      <w:pStyle w:val="a3"/>
      <w:spacing w:line="14" w:lineRule="auto"/>
      <w:ind w:left="0"/>
      <w:rPr>
        <w:sz w:val="20"/>
      </w:rPr>
    </w:pPr>
    <w:r>
      <w:pict w14:anchorId="618E64B1">
        <v:shapetype id="_x0000_t202" coordsize="21600,21600" o:spt="202" path="m,l,21600r21600,l21600,xe">
          <v:stroke joinstyle="miter"/>
          <v:path gradientshapeok="t" o:connecttype="rect"/>
        </v:shapetype>
        <v:shape id="_x0000_s1026" type="#_x0000_t202" style="position:absolute;margin-left:461.8pt;margin-top:782.4pt;width:54.15pt;height:16.05pt;z-index:-15799808;mso-position-horizontal-relative:page;mso-position-vertical-relative:page" filled="f" stroked="f">
          <v:textbox inset="0,0,0,0">
            <w:txbxContent>
              <w:p w14:paraId="2EB9CB72" w14:textId="3949328B" w:rsidR="00D36BB6" w:rsidRDefault="00B37A07">
                <w:pPr>
                  <w:spacing w:line="321" w:lineRule="exact"/>
                  <w:ind w:left="20"/>
                  <w:rPr>
                    <w:sz w:val="28"/>
                  </w:rPr>
                </w:pPr>
                <w:r w:rsidRPr="00B37A07">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B37A07">
                  <w:rPr>
                    <w:rFonts w:eastAsia="PMingLiU"/>
                    <w:lang w:eastAsia="zh-TW"/>
                  </w:rPr>
                  <w:t>1</w:t>
                </w:r>
                <w:r w:rsidR="00000000">
                  <w:fldChar w:fldCharType="end"/>
                </w:r>
                <w:r w:rsidRPr="00B37A07">
                  <w:rPr>
                    <w:rFonts w:eastAsia="PMingLiU"/>
                    <w:sz w:val="28"/>
                    <w:lang w:eastAsia="zh-TW"/>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86F6" w14:textId="77777777" w:rsidR="004D39D2" w:rsidRDefault="004D39D2">
      <w:r>
        <w:separator/>
      </w:r>
    </w:p>
  </w:footnote>
  <w:footnote w:type="continuationSeparator" w:id="0">
    <w:p w14:paraId="1C99F386" w14:textId="77777777" w:rsidR="004D39D2" w:rsidRDefault="004D3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36BB6"/>
    <w:rsid w:val="004D39D2"/>
    <w:rsid w:val="00B37A07"/>
    <w:rsid w:val="00D3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0F8A"/>
  <w15:docId w15:val="{E3981740-7DC5-4A68-8C56-A50DF0C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pPr>
    <w:rPr>
      <w:sz w:val="32"/>
      <w:szCs w:val="32"/>
    </w:rPr>
  </w:style>
  <w:style w:type="paragraph" w:styleId="a4">
    <w:name w:val="Title"/>
    <w:basedOn w:val="a"/>
    <w:uiPriority w:val="10"/>
    <w:qFormat/>
    <w:pPr>
      <w:ind w:left="678" w:right="846"/>
      <w:jc w:val="center"/>
    </w:pPr>
    <w:rPr>
      <w:rFonts w:ascii="Arial Unicode MS" w:eastAsia="Arial Unicode MS" w:hAnsi="Arial Unicode MS" w:cs="Arial Unicode M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21790074@qq.com</cp:lastModifiedBy>
  <cp:revision>2</cp:revision>
  <dcterms:created xsi:type="dcterms:W3CDTF">2022-09-12T15:38:00Z</dcterms:created>
  <dcterms:modified xsi:type="dcterms:W3CDTF">2022-09-12T15:39:00Z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2010</vt:lpwstr>
  </property>
  <property fmtid="{D5CDD505-2E9C-101B-9397-08002B2CF9AE}" pid="4" name="LastSaved">
    <vt:filetime>2022-09-12T00:00:00Z</vt:filetime>
  </property>
</Properties>
</file>