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5109" w14:textId="77777777" w:rsidR="002246E8" w:rsidRDefault="002246E8">
      <w:pPr>
        <w:pStyle w:val="a3"/>
        <w:ind w:left="0" w:firstLine="0"/>
        <w:rPr>
          <w:rFonts w:ascii="Times New Roman"/>
          <w:sz w:val="20"/>
        </w:rPr>
      </w:pPr>
    </w:p>
    <w:p w14:paraId="449D0850" w14:textId="5C84186A" w:rsidR="002246E8" w:rsidRDefault="00CE3B6D">
      <w:pPr>
        <w:pStyle w:val="a4"/>
      </w:pPr>
      <w:r w:rsidRPr="00CE3B6D">
        <w:rPr>
          <w:rFonts w:ascii="宋体" w:eastAsia="PMingLiU" w:hAnsi="宋体" w:cs="宋体" w:hint="eastAsia"/>
          <w:lang w:eastAsia="zh-TW"/>
        </w:rPr>
        <w:t>深圳證券交易所港股通交易風險揭示書必備條款（</w:t>
      </w:r>
      <w:r w:rsidRPr="00CE3B6D">
        <w:rPr>
          <w:rFonts w:eastAsia="PMingLiU"/>
          <w:lang w:eastAsia="zh-TW"/>
        </w:rPr>
        <w:t>2022</w:t>
      </w:r>
      <w:r w:rsidRPr="00CE3B6D">
        <w:rPr>
          <w:rFonts w:ascii="宋体" w:eastAsia="PMingLiU" w:hAnsi="宋体" w:cs="宋体" w:hint="eastAsia"/>
          <w:lang w:eastAsia="zh-TW"/>
        </w:rPr>
        <w:t>年修訂）</w:t>
      </w:r>
    </w:p>
    <w:p w14:paraId="5754C3B2" w14:textId="77777777" w:rsidR="002246E8" w:rsidRDefault="002246E8">
      <w:pPr>
        <w:pStyle w:val="a3"/>
        <w:spacing w:before="2"/>
        <w:ind w:left="0" w:firstLine="0"/>
        <w:rPr>
          <w:rFonts w:ascii="Arial Unicode MS"/>
          <w:sz w:val="38"/>
        </w:rPr>
      </w:pPr>
    </w:p>
    <w:p w14:paraId="69E46D50" w14:textId="586CC20E" w:rsidR="002246E8" w:rsidRDefault="00CE3B6D">
      <w:pPr>
        <w:pStyle w:val="a3"/>
        <w:spacing w:line="328" w:lineRule="auto"/>
        <w:ind w:right="272"/>
        <w:jc w:val="both"/>
      </w:pPr>
      <w:r w:rsidRPr="00CE3B6D">
        <w:rPr>
          <w:rFonts w:eastAsia="PMingLiU" w:hint="eastAsia"/>
          <w:spacing w:val="-5"/>
          <w:lang w:eastAsia="zh-TW"/>
        </w:rPr>
        <w:t>爲了使參與深港通下的港股通</w:t>
      </w:r>
      <w:r w:rsidRPr="00CE3B6D">
        <w:rPr>
          <w:rFonts w:eastAsia="PMingLiU" w:hint="eastAsia"/>
          <w:lang w:eastAsia="zh-TW"/>
        </w:rPr>
        <w:t>（以下簡稱港股通</w:t>
      </w:r>
      <w:r w:rsidRPr="00CE3B6D">
        <w:rPr>
          <w:rFonts w:eastAsia="PMingLiU" w:hint="eastAsia"/>
          <w:spacing w:val="-56"/>
          <w:lang w:eastAsia="zh-TW"/>
        </w:rPr>
        <w:t>）</w:t>
      </w:r>
      <w:r w:rsidRPr="00CE3B6D">
        <w:rPr>
          <w:rFonts w:eastAsia="PMingLiU" w:hint="eastAsia"/>
          <w:spacing w:val="-4"/>
          <w:lang w:eastAsia="zh-TW"/>
        </w:rPr>
        <w:t>投資者充</w:t>
      </w:r>
      <w:r w:rsidRPr="00CE3B6D">
        <w:rPr>
          <w:rFonts w:eastAsia="PMingLiU" w:hint="eastAsia"/>
          <w:spacing w:val="-10"/>
          <w:lang w:eastAsia="zh-TW"/>
        </w:rPr>
        <w:t>分瞭解港股通業務相關風險，開展港股通業務的證券公司應當針</w:t>
      </w:r>
      <w:r w:rsidRPr="00CE3B6D">
        <w:rPr>
          <w:rFonts w:eastAsia="PMingLiU" w:hint="eastAsia"/>
          <w:spacing w:val="-6"/>
          <w:lang w:eastAsia="zh-TW"/>
        </w:rPr>
        <w:t>對港股通投資者</w:t>
      </w:r>
      <w:r w:rsidRPr="00CE3B6D">
        <w:rPr>
          <w:rFonts w:eastAsia="PMingLiU" w:hint="eastAsia"/>
          <w:lang w:eastAsia="zh-TW"/>
        </w:rPr>
        <w:t>（以下簡稱投資者</w:t>
      </w:r>
      <w:r w:rsidRPr="00CE3B6D">
        <w:rPr>
          <w:rFonts w:eastAsia="PMingLiU" w:hint="eastAsia"/>
          <w:spacing w:val="-39"/>
          <w:lang w:eastAsia="zh-TW"/>
        </w:rPr>
        <w:t>）</w:t>
      </w:r>
      <w:r w:rsidRPr="00CE3B6D">
        <w:rPr>
          <w:rFonts w:eastAsia="PMingLiU" w:hint="eastAsia"/>
          <w:spacing w:val="-8"/>
          <w:lang w:eastAsia="zh-TW"/>
        </w:rPr>
        <w:t>制定《深圳證券交易所港股</w:t>
      </w:r>
      <w:r w:rsidRPr="00CE3B6D">
        <w:rPr>
          <w:rFonts w:eastAsia="PMingLiU" w:hint="eastAsia"/>
          <w:spacing w:val="-13"/>
          <w:lang w:eastAsia="zh-TW"/>
        </w:rPr>
        <w:t>通交易風險揭示書》，該風險揭示書至少應當包括下列內容：</w:t>
      </w:r>
    </w:p>
    <w:p w14:paraId="7B42743E" w14:textId="2E434DA3" w:rsidR="002246E8" w:rsidRDefault="00CE3B6D">
      <w:pPr>
        <w:pStyle w:val="a3"/>
        <w:spacing w:line="328" w:lineRule="auto"/>
        <w:ind w:right="272"/>
        <w:jc w:val="both"/>
      </w:pPr>
      <w:r w:rsidRPr="00CE3B6D">
        <w:rPr>
          <w:rFonts w:eastAsia="PMingLiU" w:hint="eastAsia"/>
          <w:spacing w:val="-12"/>
          <w:lang w:eastAsia="zh-TW"/>
        </w:rPr>
        <w:t>一、提示投資者注意，香港證券市場與內地證券市場存在諸</w:t>
      </w:r>
      <w:r w:rsidRPr="00CE3B6D">
        <w:rPr>
          <w:rFonts w:eastAsia="PMingLiU" w:hint="eastAsia"/>
          <w:spacing w:val="-11"/>
          <w:lang w:eastAsia="zh-TW"/>
        </w:rPr>
        <w:t>多差异，投資者參與港股通交易需遵守內地與香港相關法律、行</w:t>
      </w:r>
      <w:r w:rsidRPr="00CE3B6D">
        <w:rPr>
          <w:rFonts w:eastAsia="PMingLiU" w:hint="eastAsia"/>
          <w:spacing w:val="-12"/>
          <w:lang w:eastAsia="zh-TW"/>
        </w:rPr>
        <w:t>政法規、部門規章、規範性文件和業務規則，對香港證券市場有</w:t>
      </w:r>
      <w:r w:rsidRPr="00CE3B6D">
        <w:rPr>
          <w:rFonts w:eastAsia="PMingLiU" w:hint="eastAsia"/>
          <w:spacing w:val="-13"/>
          <w:lang w:eastAsia="zh-TW"/>
        </w:rPr>
        <w:t>所瞭解；通過港股通參與香港證券市場交易與通過其他方式參與</w:t>
      </w:r>
      <w:r w:rsidRPr="00CE3B6D">
        <w:rPr>
          <w:rFonts w:eastAsia="PMingLiU" w:hint="eastAsia"/>
          <w:lang w:eastAsia="zh-TW"/>
        </w:rPr>
        <w:t>香港證券市場交易，也存在一定的差异。</w:t>
      </w:r>
    </w:p>
    <w:p w14:paraId="3F727B17" w14:textId="66A3E351" w:rsidR="002246E8" w:rsidRDefault="00CE3B6D">
      <w:pPr>
        <w:pStyle w:val="a3"/>
        <w:spacing w:line="328" w:lineRule="auto"/>
        <w:ind w:right="269"/>
        <w:jc w:val="both"/>
        <w:rPr>
          <w:lang w:eastAsia="zh-TW"/>
        </w:rPr>
      </w:pPr>
      <w:r w:rsidRPr="00CE3B6D">
        <w:rPr>
          <w:rFonts w:eastAsia="PMingLiU" w:hint="eastAsia"/>
          <w:spacing w:val="-12"/>
          <w:lang w:eastAsia="zh-TW"/>
        </w:rPr>
        <w:t>二、提示投資者注意，投資者可以通過港股通買賣的標的證</w:t>
      </w:r>
      <w:r w:rsidRPr="00CE3B6D">
        <w:rPr>
          <w:rFonts w:eastAsia="PMingLiU" w:hint="eastAsia"/>
          <w:spacing w:val="-9"/>
          <w:lang w:eastAsia="zh-TW"/>
        </w:rPr>
        <w:t>券存在一定的範圍限制，且港股通標的證券名單會動態調整。投</w:t>
      </w:r>
      <w:r w:rsidRPr="00CE3B6D">
        <w:rPr>
          <w:rFonts w:eastAsia="PMingLiU" w:hint="eastAsia"/>
          <w:spacing w:val="-7"/>
          <w:lang w:eastAsia="zh-TW"/>
        </w:rPr>
        <w:t>資者應當關注最新的港股通標的證券名單。對于被調出的港股通</w:t>
      </w:r>
      <w:r w:rsidRPr="00CE3B6D">
        <w:rPr>
          <w:rFonts w:eastAsia="PMingLiU" w:hint="eastAsia"/>
          <w:lang w:eastAsia="zh-TW"/>
        </w:rPr>
        <w:t>標的證券，自調整之日起，投資者將不得再行買入。</w:t>
      </w:r>
    </w:p>
    <w:p w14:paraId="25E8F1E8" w14:textId="63154A3B" w:rsidR="002246E8" w:rsidRDefault="00CE3B6D">
      <w:pPr>
        <w:pStyle w:val="a3"/>
        <w:spacing w:line="328" w:lineRule="auto"/>
        <w:ind w:right="270"/>
        <w:jc w:val="both"/>
      </w:pPr>
      <w:r w:rsidRPr="00CE3B6D">
        <w:rPr>
          <w:rFonts w:eastAsia="PMingLiU" w:hint="eastAsia"/>
          <w:spacing w:val="-12"/>
          <w:lang w:eastAsia="zh-TW"/>
        </w:rPr>
        <w:t>三、提示投資者注意，港股通股票可能出現因公司基本面變</w:t>
      </w:r>
      <w:r w:rsidRPr="00CE3B6D">
        <w:rPr>
          <w:rFonts w:eastAsia="PMingLiU" w:hint="eastAsia"/>
          <w:spacing w:val="-11"/>
          <w:w w:val="95"/>
          <w:lang w:eastAsia="zh-TW"/>
        </w:rPr>
        <w:t>化、第三方研究分析報告的觀點、异常交易情形、做空機制等原</w:t>
      </w:r>
      <w:r w:rsidRPr="00CE3B6D">
        <w:rPr>
          <w:rFonts w:eastAsia="PMingLiU"/>
          <w:spacing w:val="-11"/>
          <w:w w:val="95"/>
          <w:lang w:eastAsia="zh-TW"/>
        </w:rPr>
        <w:t xml:space="preserve"> </w:t>
      </w:r>
      <w:r w:rsidRPr="00CE3B6D">
        <w:rPr>
          <w:rFonts w:eastAsia="PMingLiU" w:hint="eastAsia"/>
          <w:spacing w:val="-11"/>
          <w:lang w:eastAsia="zh-TW"/>
        </w:rPr>
        <w:t>因而引起股價較大波動的情形；港股通</w:t>
      </w:r>
      <w:r w:rsidRPr="00CE3B6D">
        <w:rPr>
          <w:rFonts w:eastAsia="PMingLiU"/>
          <w:lang w:eastAsia="zh-TW"/>
        </w:rPr>
        <w:t>ETF</w:t>
      </w:r>
      <w:r w:rsidRPr="00CE3B6D">
        <w:rPr>
          <w:rFonts w:eastAsia="PMingLiU" w:hint="eastAsia"/>
          <w:lang w:eastAsia="zh-TW"/>
        </w:rPr>
        <w:t>可能出現因跟踪標的</w:t>
      </w:r>
    </w:p>
    <w:p w14:paraId="74950EDF" w14:textId="77777777" w:rsidR="002246E8" w:rsidRDefault="002246E8">
      <w:pPr>
        <w:spacing w:line="328" w:lineRule="auto"/>
        <w:jc w:val="both"/>
        <w:sectPr w:rsidR="002246E8">
          <w:footerReference w:type="even" r:id="rId6"/>
          <w:footerReference w:type="default" r:id="rId7"/>
          <w:type w:val="continuous"/>
          <w:pgSz w:w="11910" w:h="16840"/>
          <w:pgMar w:top="1580" w:right="1200" w:bottom="1340" w:left="1480" w:header="720" w:footer="1086" w:gutter="0"/>
          <w:pgNumType w:start="1"/>
          <w:cols w:space="720"/>
        </w:sectPr>
      </w:pPr>
    </w:p>
    <w:p w14:paraId="156866B1" w14:textId="77777777" w:rsidR="002246E8" w:rsidRDefault="002246E8">
      <w:pPr>
        <w:pStyle w:val="a3"/>
        <w:ind w:left="0" w:firstLine="0"/>
        <w:rPr>
          <w:sz w:val="20"/>
        </w:rPr>
      </w:pPr>
    </w:p>
    <w:p w14:paraId="61385A82" w14:textId="77777777" w:rsidR="002246E8" w:rsidRDefault="002246E8">
      <w:pPr>
        <w:pStyle w:val="a3"/>
        <w:spacing w:before="10"/>
        <w:ind w:left="0" w:firstLine="0"/>
        <w:rPr>
          <w:sz w:val="24"/>
        </w:rPr>
      </w:pPr>
    </w:p>
    <w:p w14:paraId="49F50EA2" w14:textId="00AB3188" w:rsidR="002246E8" w:rsidRDefault="00CE3B6D">
      <w:pPr>
        <w:pStyle w:val="a3"/>
        <w:spacing w:before="54" w:line="328" w:lineRule="auto"/>
        <w:ind w:right="270" w:firstLine="0"/>
        <w:jc w:val="both"/>
      </w:pPr>
      <w:r w:rsidRPr="00CE3B6D">
        <w:rPr>
          <w:rFonts w:eastAsia="PMingLiU" w:hint="eastAsia"/>
          <w:spacing w:val="-11"/>
          <w:lang w:eastAsia="zh-TW"/>
        </w:rPr>
        <w:t>指數成份證券大幅波動、流動性不佳、受有關場外結構化産品影響、交易异常情形等原因而引起價格較大波動、折溢價率和跟踪誤差偏離合理區間等情形，尤其是考慮到香港聯合交易所有限公</w:t>
      </w:r>
      <w:r w:rsidRPr="00CE3B6D">
        <w:rPr>
          <w:rFonts w:eastAsia="PMingLiU" w:hint="eastAsia"/>
          <w:lang w:eastAsia="zh-TW"/>
        </w:rPr>
        <w:t>司（以下簡稱聯交所）市場股票及</w:t>
      </w:r>
      <w:r w:rsidRPr="00CE3B6D">
        <w:rPr>
          <w:rFonts w:eastAsia="PMingLiU"/>
          <w:lang w:eastAsia="zh-TW"/>
        </w:rPr>
        <w:t>ETF</w:t>
      </w:r>
      <w:r w:rsidRPr="00CE3B6D">
        <w:rPr>
          <w:rFonts w:eastAsia="PMingLiU" w:hint="eastAsia"/>
          <w:lang w:eastAsia="zh-TW"/>
        </w:rPr>
        <w:t>交易不設置漲跌幅限制，</w:t>
      </w:r>
      <w:r w:rsidRPr="00CE3B6D">
        <w:rPr>
          <w:rFonts w:eastAsia="PMingLiU"/>
          <w:lang w:eastAsia="zh-TW"/>
        </w:rPr>
        <w:t xml:space="preserve"> </w:t>
      </w:r>
      <w:r w:rsidRPr="00CE3B6D">
        <w:rPr>
          <w:rFonts w:eastAsia="PMingLiU" w:hint="eastAsia"/>
          <w:lang w:eastAsia="zh-TW"/>
        </w:rPr>
        <w:t>投資者應關注可能産生的風險。</w:t>
      </w:r>
    </w:p>
    <w:p w14:paraId="593F3BC9" w14:textId="3930FF73" w:rsidR="002246E8" w:rsidRDefault="00CE3B6D">
      <w:pPr>
        <w:pStyle w:val="a3"/>
        <w:spacing w:line="328" w:lineRule="auto"/>
        <w:ind w:right="114"/>
      </w:pPr>
      <w:r w:rsidRPr="00CE3B6D">
        <w:rPr>
          <w:rFonts w:eastAsia="PMingLiU" w:hint="eastAsia"/>
          <w:lang w:eastAsia="zh-TW"/>
        </w:rPr>
        <w:t>四、提示投資者注意，部分港股通上市公司基本面變化大，</w:t>
      </w:r>
      <w:r w:rsidRPr="00CE3B6D">
        <w:rPr>
          <w:rFonts w:eastAsia="PMingLiU"/>
          <w:lang w:eastAsia="zh-TW"/>
        </w:rPr>
        <w:t xml:space="preserve"> </w:t>
      </w:r>
      <w:r w:rsidRPr="00CE3B6D">
        <w:rPr>
          <w:rFonts w:eastAsia="PMingLiU" w:hint="eastAsia"/>
          <w:spacing w:val="-11"/>
          <w:lang w:eastAsia="zh-TW"/>
        </w:rPr>
        <w:t>股票價格低，可能存在大比例折價供股或配股、頻繁分拆合幷股</w:t>
      </w:r>
      <w:r w:rsidRPr="00CE3B6D">
        <w:rPr>
          <w:rFonts w:eastAsia="PMingLiU" w:hint="eastAsia"/>
          <w:spacing w:val="-19"/>
          <w:lang w:eastAsia="zh-TW"/>
        </w:rPr>
        <w:t>份的行爲，投資者持有的股份數量、股票面值可能發生大幅變化，</w:t>
      </w:r>
      <w:r w:rsidRPr="00CE3B6D">
        <w:rPr>
          <w:rFonts w:eastAsia="PMingLiU"/>
          <w:spacing w:val="-19"/>
          <w:lang w:eastAsia="zh-TW"/>
        </w:rPr>
        <w:t xml:space="preserve"> </w:t>
      </w:r>
      <w:r w:rsidRPr="00CE3B6D">
        <w:rPr>
          <w:rFonts w:eastAsia="PMingLiU" w:hint="eastAsia"/>
          <w:lang w:eastAsia="zh-TW"/>
        </w:rPr>
        <w:t>投資者應當關注可能産生的風險。</w:t>
      </w:r>
    </w:p>
    <w:p w14:paraId="69E56D2D" w14:textId="03AE1904" w:rsidR="002246E8" w:rsidRDefault="00CE3B6D">
      <w:pPr>
        <w:pStyle w:val="a3"/>
        <w:spacing w:line="328" w:lineRule="auto"/>
        <w:ind w:right="272"/>
        <w:jc w:val="both"/>
      </w:pPr>
      <w:r w:rsidRPr="00CE3B6D">
        <w:rPr>
          <w:rFonts w:eastAsia="PMingLiU" w:hint="eastAsia"/>
          <w:spacing w:val="-12"/>
          <w:lang w:eastAsia="zh-TW"/>
        </w:rPr>
        <w:t>五、提示投資者注意，部分港股通上市公司存在不同投票權安排，公司可能因存在控制權相對集中，或因某特定類別股份擁</w:t>
      </w:r>
      <w:r w:rsidRPr="00CE3B6D">
        <w:rPr>
          <w:rFonts w:eastAsia="PMingLiU" w:hint="eastAsia"/>
          <w:spacing w:val="-6"/>
          <w:lang w:eastAsia="zh-TW"/>
        </w:rPr>
        <w:t>有的投票權利大于或優于普通股份擁有的投票權利等情形，而使</w:t>
      </w:r>
      <w:r w:rsidRPr="00CE3B6D">
        <w:rPr>
          <w:rFonts w:eastAsia="PMingLiU" w:hint="eastAsia"/>
          <w:spacing w:val="6"/>
          <w:w w:val="95"/>
          <w:lang w:eastAsia="zh-TW"/>
        </w:rPr>
        <w:t>普通投資者的投票權利及對公司日常經營等事務的影響力受到</w:t>
      </w:r>
      <w:r w:rsidRPr="00CE3B6D">
        <w:rPr>
          <w:rFonts w:eastAsia="PMingLiU"/>
          <w:spacing w:val="6"/>
          <w:w w:val="95"/>
          <w:lang w:eastAsia="zh-TW"/>
        </w:rPr>
        <w:t xml:space="preserve"> </w:t>
      </w:r>
      <w:r w:rsidRPr="00CE3B6D">
        <w:rPr>
          <w:rFonts w:eastAsia="PMingLiU" w:hint="eastAsia"/>
          <w:spacing w:val="6"/>
          <w:lang w:eastAsia="zh-TW"/>
        </w:rPr>
        <w:t>限制，投資者應當關注可能産生的風險。</w:t>
      </w:r>
    </w:p>
    <w:p w14:paraId="219A4B6A" w14:textId="4E01D836" w:rsidR="002246E8" w:rsidRDefault="00CE3B6D">
      <w:pPr>
        <w:pStyle w:val="a3"/>
        <w:spacing w:line="326" w:lineRule="auto"/>
        <w:ind w:right="272"/>
        <w:jc w:val="both"/>
      </w:pPr>
      <w:r w:rsidRPr="00CE3B6D">
        <w:rPr>
          <w:rFonts w:eastAsia="PMingLiU" w:hint="eastAsia"/>
          <w:spacing w:val="-12"/>
          <w:lang w:eastAsia="zh-TW"/>
        </w:rPr>
        <w:t>六、提示投資者注意，部分港股通生物科技公司存在公開發</w:t>
      </w:r>
      <w:r w:rsidRPr="00CE3B6D">
        <w:rPr>
          <w:rFonts w:eastAsia="PMingLiU" w:hint="eastAsia"/>
          <w:spacing w:val="-9"/>
          <w:lang w:eastAsia="zh-TW"/>
        </w:rPr>
        <w:t>行幷上市時尚未有收入，上市後仍無收入、持續虧損、無法進行</w:t>
      </w:r>
      <w:r w:rsidRPr="00CE3B6D">
        <w:rPr>
          <w:rFonts w:eastAsia="PMingLiU" w:hint="eastAsia"/>
          <w:lang w:eastAsia="zh-TW"/>
        </w:rPr>
        <w:t>利潤分配等情形，投資者應當關注可能産生的風險。</w:t>
      </w:r>
    </w:p>
    <w:p w14:paraId="374BE2D9" w14:textId="630F8E71" w:rsidR="002246E8" w:rsidRDefault="00CE3B6D">
      <w:pPr>
        <w:pStyle w:val="a3"/>
        <w:spacing w:line="326" w:lineRule="auto"/>
        <w:ind w:right="267"/>
        <w:jc w:val="both"/>
      </w:pPr>
      <w:r w:rsidRPr="00CE3B6D">
        <w:rPr>
          <w:rFonts w:eastAsia="PMingLiU" w:hint="eastAsia"/>
          <w:spacing w:val="-12"/>
          <w:lang w:eastAsia="zh-TW"/>
        </w:rPr>
        <w:t>七、提示投資者注意，與內地證券市場相比，香港市場證券</w:t>
      </w:r>
      <w:r w:rsidRPr="00CE3B6D">
        <w:rPr>
          <w:rFonts w:eastAsia="PMingLiU" w:hint="eastAsia"/>
          <w:spacing w:val="-11"/>
          <w:lang w:eastAsia="zh-TW"/>
        </w:rPr>
        <w:t>停牌制度存在一定差异，港股通標的證券可能出現長時間停牌現象，投資者應當關注可能産生的風險。</w:t>
      </w:r>
    </w:p>
    <w:p w14:paraId="754A614A" w14:textId="6C916F9E" w:rsidR="002246E8" w:rsidRDefault="00CE3B6D">
      <w:pPr>
        <w:pStyle w:val="a3"/>
        <w:spacing w:line="326" w:lineRule="auto"/>
        <w:ind w:right="272"/>
      </w:pPr>
      <w:r w:rsidRPr="00CE3B6D">
        <w:rPr>
          <w:rFonts w:eastAsia="PMingLiU" w:hint="eastAsia"/>
          <w:spacing w:val="-13"/>
          <w:lang w:eastAsia="zh-TW"/>
        </w:rPr>
        <w:t>八、提示投資者注意，與內地證券市場相比，聯交所市場股</w:t>
      </w:r>
      <w:r w:rsidRPr="00CE3B6D">
        <w:rPr>
          <w:rFonts w:eastAsia="PMingLiU" w:hint="eastAsia"/>
          <w:spacing w:val="-9"/>
          <w:lang w:eastAsia="zh-TW"/>
        </w:rPr>
        <w:t>票交易沒有退市風險警示、退市整理等安排，相關股票可能存在</w:t>
      </w:r>
    </w:p>
    <w:p w14:paraId="41835882" w14:textId="77777777" w:rsidR="002246E8" w:rsidRDefault="002246E8">
      <w:pPr>
        <w:spacing w:line="326" w:lineRule="auto"/>
        <w:sectPr w:rsidR="002246E8">
          <w:pgSz w:w="11910" w:h="16840"/>
          <w:pgMar w:top="1580" w:right="1200" w:bottom="1280" w:left="1480" w:header="0" w:footer="1146" w:gutter="0"/>
          <w:cols w:space="720"/>
        </w:sectPr>
      </w:pPr>
    </w:p>
    <w:p w14:paraId="66E73A2E" w14:textId="77777777" w:rsidR="002246E8" w:rsidRDefault="002246E8">
      <w:pPr>
        <w:pStyle w:val="a3"/>
        <w:ind w:left="0" w:firstLine="0"/>
        <w:rPr>
          <w:sz w:val="20"/>
        </w:rPr>
      </w:pPr>
    </w:p>
    <w:p w14:paraId="4FAFF770" w14:textId="77777777" w:rsidR="002246E8" w:rsidRDefault="002246E8">
      <w:pPr>
        <w:pStyle w:val="a3"/>
        <w:spacing w:before="10"/>
        <w:ind w:left="0" w:firstLine="0"/>
        <w:rPr>
          <w:sz w:val="24"/>
        </w:rPr>
      </w:pPr>
    </w:p>
    <w:p w14:paraId="2CB45FC7" w14:textId="17EAC777" w:rsidR="002246E8" w:rsidRDefault="00CE3B6D">
      <w:pPr>
        <w:pStyle w:val="a3"/>
        <w:spacing w:before="54" w:line="326" w:lineRule="auto"/>
        <w:ind w:right="274" w:firstLine="0"/>
      </w:pPr>
      <w:r w:rsidRPr="00CE3B6D">
        <w:rPr>
          <w:rFonts w:eastAsia="PMingLiU" w:hint="eastAsia"/>
          <w:spacing w:val="-11"/>
          <w:lang w:eastAsia="zh-TW"/>
        </w:rPr>
        <w:t>直接退市的風險。港股通股票一旦從聯交所市場退市，投資者將</w:t>
      </w:r>
      <w:r w:rsidRPr="00CE3B6D">
        <w:rPr>
          <w:rFonts w:eastAsia="PMingLiU" w:hint="eastAsia"/>
          <w:lang w:eastAsia="zh-TW"/>
        </w:rPr>
        <w:t>面臨無法繼續通過港股通買賣相關股票的風險。</w:t>
      </w:r>
    </w:p>
    <w:p w14:paraId="1ECB11D6" w14:textId="20962BF9" w:rsidR="002246E8" w:rsidRDefault="00CE3B6D">
      <w:pPr>
        <w:pStyle w:val="a3"/>
        <w:spacing w:before="6" w:line="328" w:lineRule="auto"/>
        <w:ind w:right="266"/>
        <w:jc w:val="both"/>
      </w:pPr>
      <w:r w:rsidRPr="00CE3B6D">
        <w:rPr>
          <w:rFonts w:eastAsia="PMingLiU" w:hint="eastAsia"/>
          <w:lang w:eastAsia="zh-TW"/>
        </w:rPr>
        <w:t>九、提示投資者注意，與內地證券市場相比，香港市場</w:t>
      </w:r>
      <w:r w:rsidRPr="00CE3B6D">
        <w:rPr>
          <w:rFonts w:eastAsia="PMingLiU"/>
          <w:lang w:eastAsia="zh-TW"/>
        </w:rPr>
        <w:t xml:space="preserve">ETF </w:t>
      </w:r>
      <w:r w:rsidRPr="00CE3B6D">
        <w:rPr>
          <w:rFonts w:eastAsia="PMingLiU" w:hint="eastAsia"/>
          <w:w w:val="95"/>
          <w:lang w:eastAsia="zh-TW"/>
        </w:rPr>
        <w:t>終止上市或更換基金管理人等制度安排存在一定差异，港股通</w:t>
      </w:r>
      <w:r w:rsidRPr="00CE3B6D">
        <w:rPr>
          <w:rFonts w:eastAsia="PMingLiU"/>
          <w:lang w:eastAsia="zh-TW"/>
        </w:rPr>
        <w:t>ETF</w:t>
      </w:r>
      <w:r w:rsidRPr="00CE3B6D">
        <w:rPr>
          <w:rFonts w:eastAsia="PMingLiU" w:hint="eastAsia"/>
          <w:lang w:eastAsia="zh-TW"/>
        </w:rPr>
        <w:t>可能因基金管理人主動退出香港市場導致終止上市或更換基金管理人，投資者應當關注可能産生的風險。</w:t>
      </w:r>
    </w:p>
    <w:p w14:paraId="6F780F96" w14:textId="670F99F4" w:rsidR="002246E8" w:rsidRDefault="00CE3B6D">
      <w:pPr>
        <w:pStyle w:val="a3"/>
        <w:spacing w:line="328" w:lineRule="auto"/>
        <w:ind w:right="272"/>
        <w:jc w:val="both"/>
      </w:pPr>
      <w:r w:rsidRPr="00CE3B6D">
        <w:rPr>
          <w:rFonts w:eastAsia="PMingLiU" w:hint="eastAsia"/>
          <w:spacing w:val="-13"/>
          <w:lang w:eastAsia="zh-TW"/>
        </w:rPr>
        <w:t>十、提示投資者注意，港股通股票退市後，中國證券登記結</w:t>
      </w:r>
      <w:r w:rsidRPr="00CE3B6D">
        <w:rPr>
          <w:rFonts w:eastAsia="PMingLiU" w:hint="eastAsia"/>
          <w:spacing w:val="-9"/>
          <w:lang w:eastAsia="zh-TW"/>
        </w:rPr>
        <w:t>算有限責任公司</w:t>
      </w:r>
      <w:r w:rsidRPr="00CE3B6D">
        <w:rPr>
          <w:rFonts w:eastAsia="PMingLiU" w:hint="eastAsia"/>
          <w:lang w:eastAsia="zh-TW"/>
        </w:rPr>
        <w:t>（以下簡稱中國結算</w:t>
      </w:r>
      <w:r w:rsidRPr="00CE3B6D">
        <w:rPr>
          <w:rFonts w:eastAsia="PMingLiU" w:hint="eastAsia"/>
          <w:spacing w:val="-58"/>
          <w:lang w:eastAsia="zh-TW"/>
        </w:rPr>
        <w:t>）</w:t>
      </w:r>
      <w:r w:rsidRPr="00CE3B6D">
        <w:rPr>
          <w:rFonts w:eastAsia="PMingLiU" w:hint="eastAsia"/>
          <w:spacing w:val="-2"/>
          <w:lang w:eastAsia="zh-TW"/>
        </w:rPr>
        <w:t>通過香港中央結算有限公</w:t>
      </w:r>
      <w:r w:rsidRPr="00CE3B6D">
        <w:rPr>
          <w:rFonts w:eastAsia="PMingLiU" w:hint="eastAsia"/>
          <w:spacing w:val="-56"/>
          <w:lang w:eastAsia="zh-TW"/>
        </w:rPr>
        <w:t>司</w:t>
      </w:r>
      <w:r w:rsidRPr="00CE3B6D">
        <w:rPr>
          <w:rFonts w:eastAsia="PMingLiU" w:hint="eastAsia"/>
          <w:lang w:eastAsia="zh-TW"/>
        </w:rPr>
        <w:t>（以下簡稱香港結算</w:t>
      </w:r>
      <w:r w:rsidRPr="00CE3B6D">
        <w:rPr>
          <w:rFonts w:eastAsia="PMingLiU" w:hint="eastAsia"/>
          <w:spacing w:val="-56"/>
          <w:lang w:eastAsia="zh-TW"/>
        </w:rPr>
        <w:t>）</w:t>
      </w:r>
      <w:r w:rsidRPr="00CE3B6D">
        <w:rPr>
          <w:rFonts w:eastAsia="PMingLiU" w:hint="eastAsia"/>
          <w:spacing w:val="-1"/>
          <w:lang w:eastAsia="zh-TW"/>
        </w:rPr>
        <w:t>繼續爲投資者提供的退市股票名義持有</w:t>
      </w:r>
      <w:r w:rsidRPr="00CE3B6D">
        <w:rPr>
          <w:rFonts w:eastAsia="PMingLiU" w:hint="eastAsia"/>
          <w:lang w:eastAsia="zh-TW"/>
        </w:rPr>
        <w:t>人服務可能會受限，投資者應當關注可能産生的風險。</w:t>
      </w:r>
    </w:p>
    <w:p w14:paraId="6BFAED51" w14:textId="7147DA85" w:rsidR="002246E8" w:rsidRDefault="00CE3B6D">
      <w:pPr>
        <w:pStyle w:val="a3"/>
        <w:spacing w:line="328" w:lineRule="auto"/>
        <w:ind w:right="268"/>
        <w:jc w:val="both"/>
      </w:pPr>
      <w:r w:rsidRPr="00CE3B6D">
        <w:rPr>
          <w:rFonts w:eastAsia="PMingLiU" w:hint="eastAsia"/>
          <w:spacing w:val="-19"/>
          <w:lang w:eastAsia="zh-TW"/>
        </w:rPr>
        <w:t>十一、提示投資者注意，與內地證券市場相比，香港市場</w:t>
      </w:r>
      <w:r w:rsidRPr="00CE3B6D">
        <w:rPr>
          <w:rFonts w:eastAsia="PMingLiU"/>
          <w:spacing w:val="-5"/>
          <w:lang w:eastAsia="zh-TW"/>
        </w:rPr>
        <w:t xml:space="preserve">ETF </w:t>
      </w:r>
      <w:r w:rsidRPr="00CE3B6D">
        <w:rPr>
          <w:rFonts w:eastAsia="PMingLiU" w:hint="eastAsia"/>
          <w:spacing w:val="-10"/>
          <w:lang w:eastAsia="zh-TW"/>
        </w:rPr>
        <w:t>發生清盤業務，將基金資産變現所得的資金派發給投資者後，投</w:t>
      </w:r>
      <w:r w:rsidRPr="00CE3B6D">
        <w:rPr>
          <w:rFonts w:eastAsia="PMingLiU" w:hint="eastAsia"/>
          <w:spacing w:val="6"/>
          <w:w w:val="95"/>
          <w:lang w:eastAsia="zh-TW"/>
        </w:rPr>
        <w:t>資者證券賬戶中相應基金份額的注銷日與清盤資金發放日之間</w:t>
      </w:r>
      <w:r w:rsidRPr="00CE3B6D">
        <w:rPr>
          <w:rFonts w:eastAsia="PMingLiU"/>
          <w:spacing w:val="6"/>
          <w:w w:val="95"/>
          <w:lang w:eastAsia="zh-TW"/>
        </w:rPr>
        <w:t xml:space="preserve"> </w:t>
      </w:r>
      <w:r w:rsidRPr="00CE3B6D">
        <w:rPr>
          <w:rFonts w:eastAsia="PMingLiU" w:hint="eastAsia"/>
          <w:spacing w:val="-5"/>
          <w:lang w:eastAsia="zh-TW"/>
        </w:rPr>
        <w:t>可能間隔較長時間，對清盤後尚未注銷的基金份額，投資者應審慎評估其價值。</w:t>
      </w:r>
    </w:p>
    <w:p w14:paraId="146F3823" w14:textId="2A0EF061" w:rsidR="002246E8" w:rsidRDefault="00CE3B6D">
      <w:pPr>
        <w:pStyle w:val="a3"/>
        <w:spacing w:line="328" w:lineRule="auto"/>
        <w:ind w:right="272"/>
        <w:jc w:val="both"/>
        <w:rPr>
          <w:lang w:eastAsia="zh-TW"/>
        </w:rPr>
      </w:pPr>
      <w:r w:rsidRPr="00CE3B6D">
        <w:rPr>
          <w:rFonts w:eastAsia="PMingLiU" w:hint="eastAsia"/>
          <w:spacing w:val="-12"/>
          <w:lang w:eastAsia="zh-TW"/>
        </w:rPr>
        <w:t>十二、提示投資者注意，港股通業務實施每日額度限制。在</w:t>
      </w:r>
      <w:r w:rsidRPr="00CE3B6D">
        <w:rPr>
          <w:rFonts w:eastAsia="PMingLiU" w:hint="eastAsia"/>
          <w:spacing w:val="-11"/>
          <w:lang w:eastAsia="zh-TW"/>
        </w:rPr>
        <w:t>聯交所開市前時段，當日額度使用完畢的，新增的買單申報將面臨失敗的風險；在聯交所持續交易時段或收市競價交易時段，港股通當日額度使用完畢的，當日投資者將面臨不能通過港股通進</w:t>
      </w:r>
      <w:r w:rsidRPr="00CE3B6D">
        <w:rPr>
          <w:rFonts w:eastAsia="PMingLiU" w:hint="eastAsia"/>
          <w:lang w:eastAsia="zh-TW"/>
        </w:rPr>
        <w:t>行買入交易的風險。</w:t>
      </w:r>
    </w:p>
    <w:p w14:paraId="09C94600" w14:textId="629E1F57" w:rsidR="002246E8" w:rsidRDefault="00CE3B6D">
      <w:pPr>
        <w:pStyle w:val="a3"/>
        <w:spacing w:line="326" w:lineRule="auto"/>
        <w:ind w:right="272"/>
      </w:pPr>
      <w:r w:rsidRPr="00CE3B6D">
        <w:rPr>
          <w:rFonts w:eastAsia="PMingLiU" w:hint="eastAsia"/>
          <w:spacing w:val="-13"/>
          <w:lang w:eastAsia="zh-TW"/>
        </w:rPr>
        <w:t>十三、提示投資者注意，只有深港兩地均爲交易日且能够滿</w:t>
      </w:r>
      <w:r w:rsidRPr="00CE3B6D">
        <w:rPr>
          <w:rFonts w:eastAsia="PMingLiU" w:hint="eastAsia"/>
          <w:spacing w:val="-8"/>
          <w:lang w:eastAsia="zh-TW"/>
        </w:rPr>
        <w:t>足結算安排的交易日才爲港股通交易日，具體以深交所證券交易</w:t>
      </w:r>
    </w:p>
    <w:p w14:paraId="098F12B8" w14:textId="77777777" w:rsidR="002246E8" w:rsidRDefault="002246E8">
      <w:pPr>
        <w:spacing w:line="326" w:lineRule="auto"/>
        <w:sectPr w:rsidR="002246E8">
          <w:pgSz w:w="11910" w:h="16840"/>
          <w:pgMar w:top="1580" w:right="1200" w:bottom="1340" w:left="1480" w:header="0" w:footer="1086" w:gutter="0"/>
          <w:cols w:space="720"/>
        </w:sectPr>
      </w:pPr>
    </w:p>
    <w:p w14:paraId="50CDD078" w14:textId="77777777" w:rsidR="002246E8" w:rsidRDefault="002246E8">
      <w:pPr>
        <w:pStyle w:val="a3"/>
        <w:ind w:left="0" w:firstLine="0"/>
        <w:rPr>
          <w:sz w:val="20"/>
        </w:rPr>
      </w:pPr>
    </w:p>
    <w:p w14:paraId="02C36B35" w14:textId="77777777" w:rsidR="002246E8" w:rsidRDefault="002246E8">
      <w:pPr>
        <w:pStyle w:val="a3"/>
        <w:spacing w:before="10"/>
        <w:ind w:left="0" w:firstLine="0"/>
        <w:rPr>
          <w:sz w:val="24"/>
        </w:rPr>
      </w:pPr>
    </w:p>
    <w:p w14:paraId="1DF47B0A" w14:textId="17F8ACD0" w:rsidR="002246E8" w:rsidRDefault="00CE3B6D">
      <w:pPr>
        <w:pStyle w:val="a3"/>
        <w:spacing w:before="54"/>
        <w:ind w:firstLine="0"/>
      </w:pPr>
      <w:r w:rsidRPr="00CE3B6D">
        <w:rPr>
          <w:rFonts w:eastAsia="PMingLiU" w:hint="eastAsia"/>
          <w:lang w:eastAsia="zh-TW"/>
        </w:rPr>
        <w:t>服務公司在其指定網站公布的日期爲准。</w:t>
      </w:r>
    </w:p>
    <w:p w14:paraId="4720FD9C" w14:textId="05C4BDD7" w:rsidR="002246E8" w:rsidRDefault="00CE3B6D">
      <w:pPr>
        <w:pStyle w:val="a3"/>
        <w:spacing w:before="150" w:line="328" w:lineRule="auto"/>
        <w:ind w:right="272"/>
        <w:jc w:val="both"/>
      </w:pPr>
      <w:r w:rsidRPr="00CE3B6D">
        <w:rPr>
          <w:rFonts w:eastAsia="PMingLiU" w:hint="eastAsia"/>
          <w:spacing w:val="-13"/>
          <w:lang w:eastAsia="zh-TW"/>
        </w:rPr>
        <w:t>十四、提示投資者注意，每個港股通交易日的交易時間包括</w:t>
      </w:r>
      <w:r w:rsidRPr="00CE3B6D">
        <w:rPr>
          <w:rFonts w:eastAsia="PMingLiU" w:hint="eastAsia"/>
          <w:spacing w:val="-12"/>
          <w:lang w:eastAsia="zh-TW"/>
        </w:rPr>
        <w:t>開市前時段、持續交易時段和收市競價交易時段，具體按聯交所</w:t>
      </w:r>
      <w:r w:rsidRPr="00CE3B6D">
        <w:rPr>
          <w:rFonts w:eastAsia="PMingLiU" w:hint="eastAsia"/>
          <w:lang w:eastAsia="zh-TW"/>
        </w:rPr>
        <w:t>的規定執行。</w:t>
      </w:r>
    </w:p>
    <w:p w14:paraId="57AE2562" w14:textId="0B956F83" w:rsidR="002246E8" w:rsidRDefault="00CE3B6D">
      <w:pPr>
        <w:pStyle w:val="a3"/>
        <w:spacing w:line="328" w:lineRule="auto"/>
        <w:ind w:right="269"/>
      </w:pPr>
      <w:r w:rsidRPr="00CE3B6D">
        <w:rPr>
          <w:rFonts w:eastAsia="PMingLiU" w:hint="eastAsia"/>
          <w:lang w:eastAsia="zh-TW"/>
        </w:rPr>
        <w:t>聖誕前夕</w:t>
      </w:r>
      <w:r w:rsidRPr="00CE3B6D">
        <w:rPr>
          <w:rFonts w:eastAsia="PMingLiU" w:hint="eastAsia"/>
          <w:spacing w:val="2"/>
          <w:lang w:eastAsia="zh-TW"/>
        </w:rPr>
        <w:t>（</w:t>
      </w:r>
      <w:r w:rsidRPr="00CE3B6D">
        <w:rPr>
          <w:rFonts w:eastAsia="PMingLiU"/>
          <w:spacing w:val="2"/>
          <w:lang w:eastAsia="zh-TW"/>
        </w:rPr>
        <w:t>12</w:t>
      </w:r>
      <w:r w:rsidRPr="00CE3B6D">
        <w:rPr>
          <w:rFonts w:eastAsia="PMingLiU" w:hint="eastAsia"/>
          <w:lang w:eastAsia="zh-TW"/>
        </w:rPr>
        <w:t>月</w:t>
      </w:r>
      <w:r w:rsidRPr="00CE3B6D">
        <w:rPr>
          <w:rFonts w:eastAsia="PMingLiU"/>
          <w:lang w:eastAsia="zh-TW"/>
        </w:rPr>
        <w:t>24</w:t>
      </w:r>
      <w:r w:rsidRPr="00CE3B6D">
        <w:rPr>
          <w:rFonts w:eastAsia="PMingLiU" w:hint="eastAsia"/>
          <w:spacing w:val="4"/>
          <w:lang w:eastAsia="zh-TW"/>
        </w:rPr>
        <w:t>日</w:t>
      </w:r>
      <w:r w:rsidRPr="00CE3B6D">
        <w:rPr>
          <w:rFonts w:eastAsia="PMingLiU" w:hint="eastAsia"/>
          <w:spacing w:val="-159"/>
          <w:lang w:eastAsia="zh-TW"/>
        </w:rPr>
        <w:t>）</w:t>
      </w:r>
      <w:r w:rsidRPr="00CE3B6D">
        <w:rPr>
          <w:rFonts w:eastAsia="PMingLiU" w:hint="eastAsia"/>
          <w:lang w:eastAsia="zh-TW"/>
        </w:rPr>
        <w:t>、元旦前夕（</w:t>
      </w:r>
      <w:r w:rsidRPr="00CE3B6D">
        <w:rPr>
          <w:rFonts w:eastAsia="PMingLiU"/>
          <w:lang w:eastAsia="zh-TW"/>
        </w:rPr>
        <w:t>12</w:t>
      </w:r>
      <w:r w:rsidRPr="00CE3B6D">
        <w:rPr>
          <w:rFonts w:eastAsia="PMingLiU" w:hint="eastAsia"/>
          <w:spacing w:val="4"/>
          <w:lang w:eastAsia="zh-TW"/>
        </w:rPr>
        <w:t>月</w:t>
      </w:r>
      <w:r w:rsidRPr="00CE3B6D">
        <w:rPr>
          <w:rFonts w:eastAsia="PMingLiU"/>
          <w:lang w:eastAsia="zh-TW"/>
        </w:rPr>
        <w:t>31</w:t>
      </w:r>
      <w:r w:rsidRPr="00CE3B6D">
        <w:rPr>
          <w:rFonts w:eastAsia="PMingLiU" w:hint="eastAsia"/>
          <w:lang w:eastAsia="zh-TW"/>
        </w:rPr>
        <w:t>日</w:t>
      </w:r>
      <w:r w:rsidRPr="00CE3B6D">
        <w:rPr>
          <w:rFonts w:eastAsia="PMingLiU" w:hint="eastAsia"/>
          <w:spacing w:val="4"/>
          <w:lang w:eastAsia="zh-TW"/>
        </w:rPr>
        <w:t>）</w:t>
      </w:r>
      <w:r w:rsidRPr="00CE3B6D">
        <w:rPr>
          <w:rFonts w:eastAsia="PMingLiU" w:hint="eastAsia"/>
          <w:lang w:eastAsia="zh-TW"/>
        </w:rPr>
        <w:t>或除夕日爲港股通交易日的，港股通僅有半天交易，且當日爲非交收日。</w:t>
      </w:r>
    </w:p>
    <w:p w14:paraId="4EDD0707" w14:textId="4A876A4C" w:rsidR="002246E8" w:rsidRDefault="00CE3B6D">
      <w:pPr>
        <w:pStyle w:val="a3"/>
        <w:spacing w:line="328" w:lineRule="auto"/>
        <w:ind w:right="272"/>
        <w:jc w:val="both"/>
      </w:pPr>
      <w:r w:rsidRPr="00CE3B6D">
        <w:rPr>
          <w:rFonts w:eastAsia="PMingLiU" w:hint="eastAsia"/>
          <w:spacing w:val="-12"/>
          <w:lang w:eastAsia="zh-TW"/>
        </w:rPr>
        <w:t>十五、提示投資者注意，香港出現颱風、黑色暴雨或者聯交</w:t>
      </w:r>
      <w:r w:rsidRPr="00CE3B6D">
        <w:rPr>
          <w:rFonts w:eastAsia="PMingLiU" w:hint="eastAsia"/>
          <w:spacing w:val="-10"/>
          <w:lang w:eastAsia="zh-TW"/>
        </w:rPr>
        <w:t>所規定的其他情形時，聯交所將可能停市，投資者將面臨在停市</w:t>
      </w:r>
      <w:r w:rsidRPr="00CE3B6D">
        <w:rPr>
          <w:rFonts w:eastAsia="PMingLiU" w:hint="eastAsia"/>
          <w:spacing w:val="-9"/>
          <w:lang w:eastAsia="zh-TW"/>
        </w:rPr>
        <w:t>期間無法進行港股通交易的風險；出現深交所證券交易服務公司</w:t>
      </w:r>
      <w:r w:rsidRPr="00CE3B6D">
        <w:rPr>
          <w:rFonts w:eastAsia="PMingLiU" w:hint="eastAsia"/>
          <w:spacing w:val="-12"/>
          <w:lang w:eastAsia="zh-TW"/>
        </w:rPr>
        <w:t>認定的交易异常情况時，深交所證券交易服務公司將可能暫停提</w:t>
      </w:r>
      <w:r w:rsidRPr="00CE3B6D">
        <w:rPr>
          <w:rFonts w:eastAsia="PMingLiU" w:hint="eastAsia"/>
          <w:spacing w:val="-10"/>
          <w:lang w:eastAsia="zh-TW"/>
        </w:rPr>
        <w:t>供部分或者全部港股通服務，投資者將面臨在暫停服務期間無法</w:t>
      </w:r>
      <w:r w:rsidRPr="00CE3B6D">
        <w:rPr>
          <w:rFonts w:eastAsia="PMingLiU" w:hint="eastAsia"/>
          <w:spacing w:val="-12"/>
          <w:lang w:eastAsia="zh-TW"/>
        </w:rPr>
        <w:t>進行港股通交易的風險。深交所證券交易服務公司及深交所對于</w:t>
      </w:r>
      <w:r w:rsidRPr="00CE3B6D">
        <w:rPr>
          <w:rFonts w:eastAsia="PMingLiU" w:hint="eastAsia"/>
          <w:spacing w:val="-6"/>
          <w:lang w:eastAsia="zh-TW"/>
        </w:rPr>
        <w:t>發生交易异常情况及采取相應處置措施造成的損失，不承擔民事</w:t>
      </w:r>
      <w:r w:rsidRPr="00CE3B6D">
        <w:rPr>
          <w:rFonts w:eastAsia="PMingLiU" w:hint="eastAsia"/>
          <w:lang w:eastAsia="zh-TW"/>
        </w:rPr>
        <w:t>賠償責任，但存在重大過錯的除外。</w:t>
      </w:r>
    </w:p>
    <w:p w14:paraId="10637D00" w14:textId="373C2BC4" w:rsidR="002246E8" w:rsidRDefault="00CE3B6D">
      <w:pPr>
        <w:pStyle w:val="a3"/>
        <w:spacing w:line="328" w:lineRule="auto"/>
        <w:ind w:right="159"/>
        <w:rPr>
          <w:lang w:eastAsia="zh-TW"/>
        </w:rPr>
      </w:pPr>
      <w:r w:rsidRPr="00CE3B6D">
        <w:rPr>
          <w:rFonts w:eastAsia="PMingLiU" w:hint="eastAsia"/>
          <w:spacing w:val="-12"/>
          <w:lang w:eastAsia="zh-TW"/>
        </w:rPr>
        <w:t>十六、提示投資者注意，投資者在交易時間內提交訂單依據</w:t>
      </w:r>
      <w:r w:rsidRPr="00CE3B6D">
        <w:rPr>
          <w:rFonts w:eastAsia="PMingLiU" w:hint="eastAsia"/>
          <w:spacing w:val="-13"/>
          <w:lang w:eastAsia="zh-TW"/>
        </w:rPr>
        <w:t>的港幣買入參考匯率和賣出參考匯率，幷不等于最終結算匯率。</w:t>
      </w:r>
      <w:r w:rsidRPr="00CE3B6D">
        <w:rPr>
          <w:rFonts w:eastAsia="PMingLiU" w:hint="eastAsia"/>
          <w:spacing w:val="-9"/>
          <w:lang w:eastAsia="zh-TW"/>
        </w:rPr>
        <w:t>港股通交易日日終，中國結算深圳分公司進行淨額換匯，將換匯</w:t>
      </w:r>
      <w:r w:rsidRPr="00CE3B6D">
        <w:rPr>
          <w:rFonts w:eastAsia="PMingLiU" w:hint="eastAsia"/>
          <w:spacing w:val="6"/>
          <w:lang w:eastAsia="zh-TW"/>
        </w:rPr>
        <w:t>成本按成交金額分攤至每筆交易，確定交易實際適用的結算匯率。</w:t>
      </w:r>
    </w:p>
    <w:p w14:paraId="53BF1A3A" w14:textId="4A59FA55" w:rsidR="002246E8" w:rsidRDefault="00CE3B6D">
      <w:pPr>
        <w:pStyle w:val="a3"/>
        <w:spacing w:line="328" w:lineRule="auto"/>
        <w:ind w:right="272"/>
        <w:jc w:val="both"/>
      </w:pPr>
      <w:r w:rsidRPr="00CE3B6D">
        <w:rPr>
          <w:rFonts w:eastAsia="PMingLiU" w:hint="eastAsia"/>
          <w:spacing w:val="-13"/>
          <w:lang w:eastAsia="zh-TW"/>
        </w:rPr>
        <w:t>十七、提示投資者注意，投資者參與聯交所自動對盤系統交易，在聯交所開市前時段和收市競價交易時段應當采用競價限價</w:t>
      </w:r>
      <w:r w:rsidRPr="00CE3B6D">
        <w:rPr>
          <w:rFonts w:eastAsia="PMingLiU" w:hint="eastAsia"/>
          <w:lang w:eastAsia="zh-TW"/>
        </w:rPr>
        <w:t>盤委托，在聯交所持續交易時段應當采用增强限價盤委托。</w:t>
      </w:r>
    </w:p>
    <w:p w14:paraId="655E09DF" w14:textId="77777777" w:rsidR="002246E8" w:rsidRDefault="002246E8">
      <w:pPr>
        <w:spacing w:line="328" w:lineRule="auto"/>
        <w:jc w:val="both"/>
        <w:sectPr w:rsidR="002246E8">
          <w:pgSz w:w="11910" w:h="16840"/>
          <w:pgMar w:top="1580" w:right="1200" w:bottom="1280" w:left="1480" w:header="0" w:footer="1146" w:gutter="0"/>
          <w:cols w:space="720"/>
        </w:sectPr>
      </w:pPr>
    </w:p>
    <w:p w14:paraId="63AD91F1" w14:textId="77777777" w:rsidR="002246E8" w:rsidRDefault="002246E8">
      <w:pPr>
        <w:pStyle w:val="a3"/>
        <w:ind w:left="0" w:firstLine="0"/>
        <w:rPr>
          <w:sz w:val="20"/>
        </w:rPr>
      </w:pPr>
    </w:p>
    <w:p w14:paraId="14C4B3E7" w14:textId="77777777" w:rsidR="002246E8" w:rsidRDefault="002246E8">
      <w:pPr>
        <w:pStyle w:val="a3"/>
        <w:spacing w:before="10"/>
        <w:ind w:left="0" w:firstLine="0"/>
        <w:rPr>
          <w:sz w:val="24"/>
        </w:rPr>
      </w:pPr>
    </w:p>
    <w:p w14:paraId="5936673A" w14:textId="56CD9658" w:rsidR="002246E8" w:rsidRDefault="00CE3B6D">
      <w:pPr>
        <w:pStyle w:val="a3"/>
        <w:spacing w:before="54" w:line="326" w:lineRule="auto"/>
        <w:ind w:right="272"/>
      </w:pPr>
      <w:r w:rsidRPr="00CE3B6D">
        <w:rPr>
          <w:rFonts w:eastAsia="PMingLiU" w:hint="eastAsia"/>
          <w:spacing w:val="-13"/>
          <w:lang w:eastAsia="zh-TW"/>
        </w:rPr>
        <w:t>十八、提示投資者注意，投資者持有的碎股只能通過聯交所</w:t>
      </w:r>
      <w:r w:rsidRPr="00CE3B6D">
        <w:rPr>
          <w:rFonts w:eastAsia="PMingLiU" w:hint="eastAsia"/>
          <w:lang w:eastAsia="zh-TW"/>
        </w:rPr>
        <w:t>半自動對盤碎股交易系統賣出。</w:t>
      </w:r>
    </w:p>
    <w:p w14:paraId="172312C2" w14:textId="69AF6153" w:rsidR="002246E8" w:rsidRDefault="00CE3B6D">
      <w:pPr>
        <w:pStyle w:val="a3"/>
        <w:spacing w:before="6" w:line="328" w:lineRule="auto"/>
        <w:ind w:right="270"/>
        <w:jc w:val="both"/>
        <w:rPr>
          <w:lang w:eastAsia="zh-TW"/>
        </w:rPr>
      </w:pPr>
      <w:r w:rsidRPr="00CE3B6D">
        <w:rPr>
          <w:rFonts w:eastAsia="PMingLiU" w:hint="eastAsia"/>
          <w:spacing w:val="-12"/>
          <w:lang w:eastAsia="zh-TW"/>
        </w:rPr>
        <w:t>十九、提示投資者注意，港股通股票、港股通有幷行買賣的</w:t>
      </w:r>
      <w:r w:rsidRPr="00CE3B6D">
        <w:rPr>
          <w:rFonts w:eastAsia="PMingLiU"/>
          <w:lang w:eastAsia="zh-TW"/>
        </w:rPr>
        <w:t>ETF</w:t>
      </w:r>
      <w:r w:rsidRPr="00CE3B6D">
        <w:rPr>
          <w:rFonts w:eastAsia="PMingLiU" w:hint="eastAsia"/>
          <w:lang w:eastAsia="zh-TW"/>
        </w:rPr>
        <w:t>實施分拆合幷期間，港股通投資者持有的該證券只在臨時代</w:t>
      </w:r>
      <w:r w:rsidRPr="00CE3B6D">
        <w:rPr>
          <w:rFonts w:eastAsia="PMingLiU" w:hint="eastAsia"/>
          <w:spacing w:val="-11"/>
          <w:lang w:eastAsia="zh-TW"/>
        </w:rPr>
        <w:t>碼單櫃交易末日、臨時代碼與新代碼幷行交易末日由臨時代碼轉</w:t>
      </w:r>
      <w:r w:rsidRPr="00CE3B6D">
        <w:rPr>
          <w:rFonts w:eastAsia="PMingLiU" w:hint="eastAsia"/>
          <w:spacing w:val="-12"/>
          <w:lang w:eastAsia="zh-TW"/>
        </w:rPr>
        <w:t>換爲新代碼。由于臨時代碼與原代碼交易單位不同而可能産生碎</w:t>
      </w:r>
      <w:r w:rsidRPr="00CE3B6D">
        <w:rPr>
          <w:rFonts w:eastAsia="PMingLiU" w:hint="eastAsia"/>
          <w:lang w:eastAsia="zh-TW"/>
        </w:rPr>
        <w:t>股，投資者應關注可能産生的風險。</w:t>
      </w:r>
    </w:p>
    <w:p w14:paraId="37936B87" w14:textId="73696962" w:rsidR="002246E8" w:rsidRDefault="00CE3B6D">
      <w:pPr>
        <w:pStyle w:val="a3"/>
        <w:spacing w:line="328" w:lineRule="auto"/>
        <w:ind w:right="271"/>
        <w:jc w:val="both"/>
        <w:rPr>
          <w:lang w:eastAsia="zh-TW"/>
        </w:rPr>
      </w:pPr>
      <w:r w:rsidRPr="00CE3B6D">
        <w:rPr>
          <w:rFonts w:eastAsia="PMingLiU" w:hint="eastAsia"/>
          <w:spacing w:val="-12"/>
          <w:lang w:eastAsia="zh-TW"/>
        </w:rPr>
        <w:t>二十、提示投資者注意，港股通股票、港股通有幷行買賣的</w:t>
      </w:r>
      <w:r w:rsidRPr="00CE3B6D">
        <w:rPr>
          <w:rFonts w:eastAsia="PMingLiU"/>
          <w:lang w:eastAsia="zh-TW"/>
        </w:rPr>
        <w:t>ETF</w:t>
      </w:r>
      <w:r w:rsidRPr="00CE3B6D">
        <w:rPr>
          <w:rFonts w:eastAsia="PMingLiU" w:hint="eastAsia"/>
          <w:lang w:eastAsia="zh-TW"/>
        </w:rPr>
        <w:t>變更交易單位時，在實施原代碼和臨時代碼幷行交易期間，</w:t>
      </w:r>
      <w:r w:rsidRPr="00CE3B6D">
        <w:rPr>
          <w:rFonts w:eastAsia="PMingLiU"/>
          <w:lang w:eastAsia="zh-TW"/>
        </w:rPr>
        <w:t xml:space="preserve"> </w:t>
      </w:r>
      <w:r w:rsidRPr="00CE3B6D">
        <w:rPr>
          <w:rFonts w:eastAsia="PMingLiU" w:hint="eastAsia"/>
          <w:spacing w:val="-7"/>
          <w:lang w:eastAsia="zh-TW"/>
        </w:rPr>
        <w:t>根據有關港股通標的證券在境內的登記結算安排，港股通業務僅</w:t>
      </w:r>
      <w:r w:rsidRPr="00CE3B6D">
        <w:rPr>
          <w:rFonts w:eastAsia="PMingLiU" w:hint="eastAsia"/>
          <w:spacing w:val="-10"/>
          <w:lang w:eastAsia="zh-TW"/>
        </w:rPr>
        <w:t>提供原代碼的交易服務，暫不提供臨時代碼交易服務。由于臨時</w:t>
      </w:r>
      <w:r w:rsidRPr="00CE3B6D">
        <w:rPr>
          <w:rFonts w:eastAsia="PMingLiU" w:hint="eastAsia"/>
          <w:spacing w:val="-7"/>
          <w:lang w:eastAsia="zh-TW"/>
        </w:rPr>
        <w:t>代碼與原代碼交易單位不同而可能産生碎股，投資者應關注可能</w:t>
      </w:r>
      <w:r w:rsidRPr="00CE3B6D">
        <w:rPr>
          <w:rFonts w:eastAsia="PMingLiU" w:hint="eastAsia"/>
          <w:lang w:eastAsia="zh-TW"/>
        </w:rPr>
        <w:t>産生的風險。</w:t>
      </w:r>
    </w:p>
    <w:p w14:paraId="2D90E5B9" w14:textId="79FC048B" w:rsidR="002246E8" w:rsidRDefault="00CE3B6D">
      <w:pPr>
        <w:pStyle w:val="a3"/>
        <w:spacing w:line="328" w:lineRule="auto"/>
        <w:ind w:right="269"/>
        <w:jc w:val="both"/>
      </w:pPr>
      <w:r w:rsidRPr="00CE3B6D">
        <w:rPr>
          <w:rFonts w:eastAsia="PMingLiU" w:hint="eastAsia"/>
          <w:spacing w:val="-13"/>
          <w:lang w:eastAsia="zh-TW"/>
        </w:rPr>
        <w:t>二十一、提示投資者注意，投資者當日買入的港股通標的證</w:t>
      </w:r>
      <w:r w:rsidRPr="00CE3B6D">
        <w:rPr>
          <w:rFonts w:eastAsia="PMingLiU" w:hint="eastAsia"/>
          <w:spacing w:val="-12"/>
          <w:lang w:eastAsia="zh-TW"/>
        </w:rPr>
        <w:t>券，經確認成交後，在交收前即可賣出，投資者應當關注因此可能産生的風險。</w:t>
      </w:r>
    </w:p>
    <w:p w14:paraId="2AC9AF38" w14:textId="082710A6" w:rsidR="002246E8" w:rsidRDefault="00CE3B6D">
      <w:pPr>
        <w:pStyle w:val="a3"/>
        <w:spacing w:line="328" w:lineRule="auto"/>
        <w:ind w:right="272"/>
        <w:jc w:val="both"/>
      </w:pPr>
      <w:r w:rsidRPr="00CE3B6D">
        <w:rPr>
          <w:rFonts w:eastAsia="PMingLiU" w:hint="eastAsia"/>
          <w:spacing w:val="-12"/>
          <w:lang w:eastAsia="zh-TW"/>
        </w:rPr>
        <w:t>二十二、提示投資者注意，與內地證券市場相比，聯交所在</w:t>
      </w:r>
      <w:r w:rsidRPr="00CE3B6D">
        <w:rPr>
          <w:rFonts w:eastAsia="PMingLiU" w:hint="eastAsia"/>
          <w:spacing w:val="-9"/>
          <w:lang w:eastAsia="zh-TW"/>
        </w:rPr>
        <w:t>訂單申報的最小交易價差、每手證券數量、申報最大限制等方面</w:t>
      </w:r>
      <w:r w:rsidRPr="00CE3B6D">
        <w:rPr>
          <w:rFonts w:eastAsia="PMingLiU" w:hint="eastAsia"/>
          <w:lang w:eastAsia="zh-TW"/>
        </w:rPr>
        <w:t>存在一定的差异，投資者應當關注因此可能産生的風險。</w:t>
      </w:r>
    </w:p>
    <w:p w14:paraId="1653B5FD" w14:textId="24D00DD8" w:rsidR="002246E8" w:rsidRDefault="00CE3B6D">
      <w:pPr>
        <w:pStyle w:val="a3"/>
        <w:spacing w:line="328" w:lineRule="auto"/>
        <w:ind w:right="272"/>
        <w:jc w:val="both"/>
      </w:pPr>
      <w:r w:rsidRPr="00CE3B6D">
        <w:rPr>
          <w:rFonts w:eastAsia="PMingLiU" w:hint="eastAsia"/>
          <w:spacing w:val="-13"/>
          <w:lang w:eastAsia="zh-TW"/>
        </w:rPr>
        <w:t>二十三、提示投資者注意，港股通交易中若聯交所與深交所</w:t>
      </w:r>
      <w:r w:rsidRPr="00CE3B6D">
        <w:rPr>
          <w:rFonts w:eastAsia="PMingLiU" w:hint="eastAsia"/>
          <w:spacing w:val="-6"/>
          <w:lang w:eastAsia="zh-TW"/>
        </w:rPr>
        <w:t>證券交易服務公司之間的報盤系統或者通信鏈路出現故障，可能</w:t>
      </w:r>
      <w:r w:rsidRPr="00CE3B6D">
        <w:rPr>
          <w:rFonts w:eastAsia="PMingLiU" w:hint="eastAsia"/>
          <w:lang w:eastAsia="zh-TW"/>
        </w:rPr>
        <w:t>導致</w:t>
      </w:r>
      <w:r w:rsidRPr="00CE3B6D">
        <w:rPr>
          <w:rFonts w:eastAsia="PMingLiU"/>
          <w:lang w:eastAsia="zh-TW"/>
        </w:rPr>
        <w:t>15</w:t>
      </w:r>
      <w:r w:rsidRPr="00CE3B6D">
        <w:rPr>
          <w:rFonts w:eastAsia="PMingLiU" w:hint="eastAsia"/>
          <w:spacing w:val="-10"/>
          <w:lang w:eastAsia="zh-TW"/>
        </w:rPr>
        <w:t>分鐘以上不能申報和撤銷申報，投資者應當關注因此可能</w:t>
      </w:r>
    </w:p>
    <w:p w14:paraId="247958B1" w14:textId="77777777" w:rsidR="002246E8" w:rsidRDefault="002246E8">
      <w:pPr>
        <w:spacing w:line="328" w:lineRule="auto"/>
        <w:jc w:val="both"/>
        <w:sectPr w:rsidR="002246E8">
          <w:pgSz w:w="11910" w:h="16840"/>
          <w:pgMar w:top="1580" w:right="1200" w:bottom="1340" w:left="1480" w:header="0" w:footer="1086" w:gutter="0"/>
          <w:cols w:space="720"/>
        </w:sectPr>
      </w:pPr>
    </w:p>
    <w:p w14:paraId="5E4C5777" w14:textId="77777777" w:rsidR="002246E8" w:rsidRDefault="002246E8">
      <w:pPr>
        <w:pStyle w:val="a3"/>
        <w:ind w:left="0" w:firstLine="0"/>
        <w:rPr>
          <w:sz w:val="20"/>
        </w:rPr>
      </w:pPr>
    </w:p>
    <w:p w14:paraId="31C44FEA" w14:textId="77777777" w:rsidR="002246E8" w:rsidRDefault="002246E8">
      <w:pPr>
        <w:pStyle w:val="a3"/>
        <w:spacing w:before="10"/>
        <w:ind w:left="0" w:firstLine="0"/>
        <w:rPr>
          <w:sz w:val="24"/>
        </w:rPr>
      </w:pPr>
    </w:p>
    <w:p w14:paraId="533A9C1F" w14:textId="5F96513F" w:rsidR="002246E8" w:rsidRDefault="00CE3B6D">
      <w:pPr>
        <w:pStyle w:val="a3"/>
        <w:spacing w:before="54"/>
        <w:ind w:firstLine="0"/>
      </w:pPr>
      <w:r w:rsidRPr="00CE3B6D">
        <w:rPr>
          <w:rFonts w:eastAsia="PMingLiU" w:hint="eastAsia"/>
          <w:lang w:eastAsia="zh-TW"/>
        </w:rPr>
        <w:t>産生的風險。</w:t>
      </w:r>
    </w:p>
    <w:p w14:paraId="0A84427B" w14:textId="4CFC9A7E" w:rsidR="002246E8" w:rsidRDefault="00CE3B6D">
      <w:pPr>
        <w:pStyle w:val="a3"/>
        <w:spacing w:before="150" w:line="328" w:lineRule="auto"/>
        <w:ind w:right="270"/>
        <w:jc w:val="both"/>
      </w:pPr>
      <w:r w:rsidRPr="00CE3B6D">
        <w:rPr>
          <w:rFonts w:eastAsia="PMingLiU" w:hint="eastAsia"/>
          <w:spacing w:val="-12"/>
          <w:lang w:eastAsia="zh-TW"/>
        </w:rPr>
        <w:t>二十四、提示投資者注意，港股通標的證券交易不設置漲跌幅限制，但根據聯交所業務規則，適用市場波動調節機制的港股</w:t>
      </w:r>
      <w:r w:rsidRPr="00CE3B6D">
        <w:rPr>
          <w:rFonts w:eastAsia="PMingLiU" w:hint="eastAsia"/>
          <w:spacing w:val="-7"/>
          <w:lang w:eastAsia="zh-TW"/>
        </w:rPr>
        <w:t>通標的證券的買賣申報可能受到價格限制，投資者應當關注因此</w:t>
      </w:r>
      <w:r w:rsidRPr="00CE3B6D">
        <w:rPr>
          <w:rFonts w:eastAsia="PMingLiU" w:hint="eastAsia"/>
          <w:lang w:eastAsia="zh-TW"/>
        </w:rPr>
        <w:t>可能産生的風險。</w:t>
      </w:r>
    </w:p>
    <w:p w14:paraId="0EF72DC5" w14:textId="39FA104D" w:rsidR="002246E8" w:rsidRDefault="00CE3B6D">
      <w:pPr>
        <w:pStyle w:val="a3"/>
        <w:spacing w:line="326" w:lineRule="auto"/>
        <w:ind w:right="272"/>
        <w:jc w:val="both"/>
      </w:pPr>
      <w:r w:rsidRPr="00CE3B6D">
        <w:rPr>
          <w:rFonts w:eastAsia="PMingLiU" w:hint="eastAsia"/>
          <w:spacing w:val="-13"/>
          <w:lang w:eastAsia="zh-TW"/>
        </w:rPr>
        <w:t>二十五、提示投資者注意，對于適用收市競價交易的港股通</w:t>
      </w:r>
      <w:r w:rsidRPr="00CE3B6D">
        <w:rPr>
          <w:rFonts w:eastAsia="PMingLiU" w:hint="eastAsia"/>
          <w:spacing w:val="-12"/>
          <w:lang w:eastAsia="zh-TW"/>
        </w:rPr>
        <w:t>標的證券，根據聯交所業務規則，收市競價交易時段的買賣申報</w:t>
      </w:r>
      <w:r w:rsidRPr="00CE3B6D">
        <w:rPr>
          <w:rFonts w:eastAsia="PMingLiU" w:hint="eastAsia"/>
          <w:lang w:eastAsia="zh-TW"/>
        </w:rPr>
        <w:t>將受到價格限制，投資者應當關注因此可能産生的風險。</w:t>
      </w:r>
    </w:p>
    <w:p w14:paraId="3BA3A42D" w14:textId="0D290936" w:rsidR="002246E8" w:rsidRDefault="00CE3B6D">
      <w:pPr>
        <w:pStyle w:val="a3"/>
        <w:spacing w:before="2" w:line="326" w:lineRule="auto"/>
        <w:ind w:right="269"/>
        <w:jc w:val="both"/>
      </w:pPr>
      <w:r w:rsidRPr="00CE3B6D">
        <w:rPr>
          <w:rFonts w:eastAsia="PMingLiU" w:hint="eastAsia"/>
          <w:spacing w:val="-13"/>
          <w:lang w:eastAsia="zh-TW"/>
        </w:rPr>
        <w:t>二十六、提示投資者注意，對于適用開市前時段的港股通標</w:t>
      </w:r>
      <w:r w:rsidRPr="00CE3B6D">
        <w:rPr>
          <w:rFonts w:eastAsia="PMingLiU" w:hint="eastAsia"/>
          <w:spacing w:val="-12"/>
          <w:lang w:eastAsia="zh-TW"/>
        </w:rPr>
        <w:t>的證券，根據聯交所業務規則，開市前時段的買賣申報將受到價格限制，投資者應當關注因此可能産生的風險。</w:t>
      </w:r>
    </w:p>
    <w:p w14:paraId="0FDE2260" w14:textId="5D1BCAB9" w:rsidR="002246E8" w:rsidRDefault="00CE3B6D">
      <w:pPr>
        <w:pStyle w:val="a3"/>
        <w:spacing w:before="7" w:line="328" w:lineRule="auto"/>
        <w:ind w:right="272"/>
        <w:jc w:val="both"/>
      </w:pPr>
      <w:r w:rsidRPr="00CE3B6D">
        <w:rPr>
          <w:rFonts w:eastAsia="PMingLiU" w:hint="eastAsia"/>
          <w:spacing w:val="-13"/>
          <w:lang w:eastAsia="zh-TW"/>
        </w:rPr>
        <w:t>二十七、提示投資者注意，投資者通過港股通業務獲得的香</w:t>
      </w:r>
      <w:r w:rsidRPr="00CE3B6D">
        <w:rPr>
          <w:rFonts w:eastAsia="PMingLiU" w:hint="eastAsia"/>
          <w:spacing w:val="-9"/>
          <w:lang w:eastAsia="zh-TW"/>
        </w:rPr>
        <w:t>港證券市場免費一檔行情，與付費方式獲得的行情相比，在刷新</w:t>
      </w:r>
      <w:r w:rsidRPr="00CE3B6D">
        <w:rPr>
          <w:rFonts w:eastAsia="PMingLiU" w:hint="eastAsia"/>
          <w:spacing w:val="-13"/>
          <w:lang w:eastAsia="zh-TW"/>
        </w:rPr>
        <w:t>頻率、檔位顯示等方面存在差异，投資者應當關注依此進行投資</w:t>
      </w:r>
      <w:r w:rsidRPr="00CE3B6D">
        <w:rPr>
          <w:rFonts w:eastAsia="PMingLiU" w:hint="eastAsia"/>
          <w:lang w:eastAsia="zh-TW"/>
        </w:rPr>
        <w:t>决策的風險。</w:t>
      </w:r>
    </w:p>
    <w:p w14:paraId="57D9700D" w14:textId="6FD6D672" w:rsidR="002246E8" w:rsidRDefault="00CE3B6D">
      <w:pPr>
        <w:pStyle w:val="a3"/>
        <w:spacing w:line="328" w:lineRule="auto"/>
        <w:ind w:right="270"/>
        <w:jc w:val="both"/>
        <w:rPr>
          <w:lang w:eastAsia="zh-TW"/>
        </w:rPr>
      </w:pPr>
      <w:r w:rsidRPr="00CE3B6D">
        <w:rPr>
          <w:rFonts w:eastAsia="PMingLiU" w:hint="eastAsia"/>
          <w:spacing w:val="-12"/>
          <w:lang w:eastAsia="zh-TW"/>
        </w:rPr>
        <w:t>二十八、提示投資者注意，在香港證券市場，證券價格上漲</w:t>
      </w:r>
      <w:r w:rsidRPr="00CE3B6D">
        <w:rPr>
          <w:rFonts w:eastAsia="PMingLiU" w:hint="eastAsia"/>
          <w:spacing w:val="-11"/>
          <w:lang w:eastAsia="zh-TW"/>
        </w:rPr>
        <w:t>時，證券報價屏幕上顯示的顔色爲綠色，下跌時則爲紅色，與內</w:t>
      </w:r>
      <w:r w:rsidRPr="00CE3B6D">
        <w:rPr>
          <w:rFonts w:eastAsia="PMingLiU" w:hint="eastAsia"/>
          <w:spacing w:val="-15"/>
          <w:lang w:eastAsia="zh-TW"/>
        </w:rPr>
        <w:t>地證券市場存在差异。但是，不同的行情軟件商提供的行情走勢</w:t>
      </w:r>
      <w:r w:rsidRPr="00CE3B6D">
        <w:rPr>
          <w:rFonts w:eastAsia="PMingLiU" w:hint="eastAsia"/>
          <w:spacing w:val="-11"/>
          <w:lang w:eastAsia="zh-TW"/>
        </w:rPr>
        <w:t>顔色可以重新設定，投資者在使用行情軟件的時候，應當仔細檢</w:t>
      </w:r>
      <w:r w:rsidRPr="00CE3B6D">
        <w:rPr>
          <w:rFonts w:eastAsia="PMingLiU" w:hint="eastAsia"/>
          <w:lang w:eastAsia="zh-TW"/>
        </w:rPr>
        <w:t>查軟件的參數設置，避免慣性思維帶來的風險。</w:t>
      </w:r>
    </w:p>
    <w:p w14:paraId="4BAC7EE2" w14:textId="0240C1B3" w:rsidR="002246E8" w:rsidRDefault="00CE3B6D">
      <w:pPr>
        <w:pStyle w:val="a3"/>
        <w:spacing w:line="326" w:lineRule="auto"/>
        <w:ind w:right="269"/>
      </w:pPr>
      <w:r w:rsidRPr="00CE3B6D">
        <w:rPr>
          <w:rFonts w:eastAsia="PMingLiU" w:hint="eastAsia"/>
          <w:spacing w:val="-12"/>
          <w:lang w:eastAsia="zh-TW"/>
        </w:rPr>
        <w:t>二十九、提示投資者注意，投資者因港股通標的證券權益分派、轉換、收購等情形或者异常情况，所取得的港股通標的證券</w:t>
      </w:r>
    </w:p>
    <w:p w14:paraId="338C8DFA" w14:textId="77777777" w:rsidR="002246E8" w:rsidRDefault="002246E8">
      <w:pPr>
        <w:spacing w:line="326" w:lineRule="auto"/>
        <w:sectPr w:rsidR="002246E8">
          <w:pgSz w:w="11910" w:h="16840"/>
          <w:pgMar w:top="1580" w:right="1200" w:bottom="1280" w:left="1480" w:header="0" w:footer="1146" w:gutter="0"/>
          <w:cols w:space="720"/>
        </w:sectPr>
      </w:pPr>
    </w:p>
    <w:p w14:paraId="322F7C8C" w14:textId="77777777" w:rsidR="002246E8" w:rsidRDefault="002246E8">
      <w:pPr>
        <w:pStyle w:val="a3"/>
        <w:ind w:left="0" w:firstLine="0"/>
        <w:rPr>
          <w:sz w:val="20"/>
        </w:rPr>
      </w:pPr>
    </w:p>
    <w:p w14:paraId="62C9E0B2" w14:textId="77777777" w:rsidR="002246E8" w:rsidRDefault="002246E8">
      <w:pPr>
        <w:pStyle w:val="a3"/>
        <w:spacing w:before="10"/>
        <w:ind w:left="0" w:firstLine="0"/>
        <w:rPr>
          <w:sz w:val="24"/>
        </w:rPr>
      </w:pPr>
    </w:p>
    <w:p w14:paraId="75BE04B2" w14:textId="1E0AE808" w:rsidR="002246E8" w:rsidRDefault="00CE3B6D">
      <w:pPr>
        <w:pStyle w:val="a3"/>
        <w:spacing w:before="54" w:line="328" w:lineRule="auto"/>
        <w:ind w:right="109" w:firstLine="0"/>
      </w:pPr>
      <w:r w:rsidRPr="00CE3B6D">
        <w:rPr>
          <w:rFonts w:eastAsia="PMingLiU" w:hint="eastAsia"/>
          <w:spacing w:val="-8"/>
          <w:lang w:eastAsia="zh-TW"/>
        </w:rPr>
        <w:t>以外的聯交所上市證券，只能通過港股通賣出，但不得買入，深</w:t>
      </w:r>
      <w:r w:rsidRPr="00CE3B6D">
        <w:rPr>
          <w:rFonts w:eastAsia="PMingLiU" w:hint="eastAsia"/>
          <w:spacing w:val="-14"/>
          <w:lang w:eastAsia="zh-TW"/>
        </w:rPr>
        <w:t>交所另有規定的除外；因港股通股票權益分派或者轉換等情形取</w:t>
      </w:r>
      <w:r w:rsidRPr="00CE3B6D">
        <w:rPr>
          <w:rFonts w:eastAsia="PMingLiU" w:hint="eastAsia"/>
          <w:spacing w:val="-19"/>
          <w:lang w:eastAsia="zh-TW"/>
        </w:rPr>
        <w:t>得的聯交所上市股票的認購權利在聯交所上市的，可以通過港股</w:t>
      </w:r>
      <w:r w:rsidRPr="00CE3B6D">
        <w:rPr>
          <w:rFonts w:eastAsia="PMingLiU" w:hint="eastAsia"/>
          <w:spacing w:val="-20"/>
          <w:lang w:eastAsia="zh-TW"/>
        </w:rPr>
        <w:t>通賣出，但不得買入，也不得行權；因港股通標的證券權益分派、</w:t>
      </w:r>
      <w:r w:rsidRPr="00CE3B6D">
        <w:rPr>
          <w:rFonts w:eastAsia="PMingLiU" w:hint="eastAsia"/>
          <w:spacing w:val="6"/>
          <w:lang w:eastAsia="zh-TW"/>
        </w:rPr>
        <w:t>轉換或者收購等所取得的非聯交所上市證券，可以享有相關權益，但不得通過港股通買入或賣出。</w:t>
      </w:r>
    </w:p>
    <w:p w14:paraId="15C7206B" w14:textId="0693DD91" w:rsidR="002246E8" w:rsidRDefault="00CE3B6D">
      <w:pPr>
        <w:pStyle w:val="a3"/>
        <w:spacing w:line="328" w:lineRule="auto"/>
        <w:ind w:right="108"/>
        <w:rPr>
          <w:lang w:eastAsia="zh-TW"/>
        </w:rPr>
      </w:pPr>
      <w:r w:rsidRPr="00CE3B6D">
        <w:rPr>
          <w:rFonts w:eastAsia="PMingLiU" w:hint="eastAsia"/>
          <w:spacing w:val="-12"/>
          <w:lang w:eastAsia="zh-TW"/>
        </w:rPr>
        <w:t>三十、提示投資者注意，香港證券市場與內地證券市場在證</w:t>
      </w:r>
      <w:r w:rsidRPr="00CE3B6D">
        <w:rPr>
          <w:rFonts w:eastAsia="PMingLiU" w:hint="eastAsia"/>
          <w:spacing w:val="-17"/>
          <w:lang w:eastAsia="zh-TW"/>
        </w:rPr>
        <w:t>券資金的交收期安排上存在差异，港股通交易的交收期爲</w:t>
      </w:r>
      <w:r w:rsidRPr="00CE3B6D">
        <w:rPr>
          <w:rFonts w:eastAsia="PMingLiU"/>
          <w:lang w:eastAsia="zh-TW"/>
        </w:rPr>
        <w:t>T+2</w:t>
      </w:r>
      <w:r w:rsidRPr="00CE3B6D">
        <w:rPr>
          <w:rFonts w:eastAsia="PMingLiU" w:hint="eastAsia"/>
          <w:spacing w:val="-5"/>
          <w:lang w:eastAsia="zh-TW"/>
        </w:rPr>
        <w:t>日。</w:t>
      </w:r>
      <w:r w:rsidRPr="00CE3B6D">
        <w:rPr>
          <w:rFonts w:eastAsia="PMingLiU" w:hint="eastAsia"/>
          <w:spacing w:val="-9"/>
          <w:lang w:eastAsia="zh-TW"/>
        </w:rPr>
        <w:t>若投資者賣出證券，在交收完成前仍享有該證券的權益。若投資者買入證券，在交收完成後才享有該證券的權益。</w:t>
      </w:r>
    </w:p>
    <w:p w14:paraId="1333772D" w14:textId="1F178EB3" w:rsidR="002246E8" w:rsidRDefault="00CE3B6D">
      <w:pPr>
        <w:pStyle w:val="a3"/>
        <w:spacing w:line="328" w:lineRule="auto"/>
        <w:ind w:right="274"/>
      </w:pPr>
      <w:r w:rsidRPr="00CE3B6D">
        <w:rPr>
          <w:rFonts w:eastAsia="PMingLiU" w:hint="eastAsia"/>
          <w:spacing w:val="-13"/>
          <w:lang w:eastAsia="zh-TW"/>
        </w:rPr>
        <w:t>同時，港股通交易的交收可能因香港出現颱風或黑色暴雨等</w:t>
      </w:r>
      <w:r w:rsidRPr="00CE3B6D">
        <w:rPr>
          <w:rFonts w:eastAsia="PMingLiU" w:hint="eastAsia"/>
          <w:lang w:eastAsia="zh-TW"/>
        </w:rPr>
        <w:t>發生延遲交收。</w:t>
      </w:r>
    </w:p>
    <w:p w14:paraId="386FA5B5" w14:textId="72609008" w:rsidR="002246E8" w:rsidRDefault="00CE3B6D">
      <w:pPr>
        <w:pStyle w:val="a3"/>
        <w:spacing w:line="328" w:lineRule="auto"/>
        <w:ind w:right="270"/>
        <w:jc w:val="both"/>
      </w:pPr>
      <w:r w:rsidRPr="00CE3B6D">
        <w:rPr>
          <w:rFonts w:eastAsia="PMingLiU" w:hint="eastAsia"/>
          <w:spacing w:val="-12"/>
          <w:lang w:eastAsia="zh-TW"/>
        </w:rPr>
        <w:t>三十一、提示投資者注意，投資者通過港股通業務暫不能參</w:t>
      </w:r>
      <w:r w:rsidRPr="00CE3B6D">
        <w:rPr>
          <w:rFonts w:eastAsia="PMingLiU" w:hint="eastAsia"/>
          <w:lang w:eastAsia="zh-TW"/>
        </w:rPr>
        <w:t>與新股發行認購、超額供股和超額公開配售，以及</w:t>
      </w:r>
      <w:r w:rsidRPr="00CE3B6D">
        <w:rPr>
          <w:rFonts w:eastAsia="PMingLiU"/>
          <w:lang w:eastAsia="zh-TW"/>
        </w:rPr>
        <w:t>ETF</w:t>
      </w:r>
      <w:r w:rsidRPr="00CE3B6D">
        <w:rPr>
          <w:rFonts w:eastAsia="PMingLiU" w:hint="eastAsia"/>
          <w:lang w:eastAsia="zh-TW"/>
        </w:rPr>
        <w:t>發行認購和申購贖回。</w:t>
      </w:r>
    </w:p>
    <w:p w14:paraId="2E34D89D" w14:textId="0AFF3A42" w:rsidR="002246E8" w:rsidRDefault="00CE3B6D">
      <w:pPr>
        <w:pStyle w:val="a3"/>
        <w:spacing w:line="328" w:lineRule="auto"/>
        <w:ind w:right="271"/>
        <w:jc w:val="both"/>
      </w:pPr>
      <w:r w:rsidRPr="00CE3B6D">
        <w:rPr>
          <w:rFonts w:eastAsia="PMingLiU" w:hint="eastAsia"/>
          <w:spacing w:val="-13"/>
          <w:lang w:eastAsia="zh-TW"/>
        </w:rPr>
        <w:t>三十二、提示投資者注意，對于在聯交所上市公司派發的現</w:t>
      </w:r>
      <w:r w:rsidRPr="00CE3B6D">
        <w:rPr>
          <w:rFonts w:eastAsia="PMingLiU" w:hint="eastAsia"/>
          <w:lang w:eastAsia="zh-TW"/>
        </w:rPr>
        <w:t>金紅利，或聯交所上市</w:t>
      </w:r>
      <w:r w:rsidRPr="00CE3B6D">
        <w:rPr>
          <w:rFonts w:eastAsia="PMingLiU"/>
          <w:lang w:eastAsia="zh-TW"/>
        </w:rPr>
        <w:t>ETF</w:t>
      </w:r>
      <w:r w:rsidRPr="00CE3B6D">
        <w:rPr>
          <w:rFonts w:eastAsia="PMingLiU" w:hint="eastAsia"/>
          <w:lang w:eastAsia="zh-TW"/>
        </w:rPr>
        <w:t>進行的收益分配，由于中國結算需要</w:t>
      </w:r>
      <w:r w:rsidRPr="00CE3B6D">
        <w:rPr>
          <w:rFonts w:eastAsia="PMingLiU" w:hint="eastAsia"/>
          <w:spacing w:val="-7"/>
          <w:lang w:eastAsia="zh-TW"/>
        </w:rPr>
        <w:t>在收到香港結算派發的外幣紅利資金後進行換匯、清算、發放等</w:t>
      </w:r>
      <w:r w:rsidRPr="00CE3B6D">
        <w:rPr>
          <w:rFonts w:eastAsia="PMingLiU" w:hint="eastAsia"/>
          <w:spacing w:val="-12"/>
          <w:lang w:eastAsia="zh-TW"/>
        </w:rPr>
        <w:t>業務處理，投資者通過港股通業務獲得的現金紅利將會較香港市</w:t>
      </w:r>
      <w:r w:rsidRPr="00CE3B6D">
        <w:rPr>
          <w:rFonts w:eastAsia="PMingLiU" w:hint="eastAsia"/>
          <w:lang w:eastAsia="zh-TW"/>
        </w:rPr>
        <w:t>場有所延後。</w:t>
      </w:r>
    </w:p>
    <w:p w14:paraId="3C66B9EE" w14:textId="228C3477" w:rsidR="002246E8" w:rsidRDefault="00CE3B6D">
      <w:pPr>
        <w:pStyle w:val="a3"/>
        <w:spacing w:line="326" w:lineRule="auto"/>
        <w:ind w:right="272"/>
      </w:pPr>
      <w:r w:rsidRPr="00CE3B6D">
        <w:rPr>
          <w:rFonts w:eastAsia="PMingLiU" w:hint="eastAsia"/>
          <w:spacing w:val="-13"/>
          <w:lang w:eastAsia="zh-TW"/>
        </w:rPr>
        <w:t>三十三、提示投資者注意，對于在聯交所上市公司派發的紅股，中國結算在收到香港結算派發紅股到賬當日或次日進行業務</w:t>
      </w:r>
    </w:p>
    <w:p w14:paraId="4BF7B075" w14:textId="77777777" w:rsidR="002246E8" w:rsidRDefault="002246E8">
      <w:pPr>
        <w:spacing w:line="326" w:lineRule="auto"/>
        <w:sectPr w:rsidR="002246E8">
          <w:pgSz w:w="11910" w:h="16840"/>
          <w:pgMar w:top="1580" w:right="1200" w:bottom="1340" w:left="1480" w:header="0" w:footer="1086" w:gutter="0"/>
          <w:cols w:space="720"/>
        </w:sectPr>
      </w:pPr>
    </w:p>
    <w:p w14:paraId="78395FE7" w14:textId="77777777" w:rsidR="002246E8" w:rsidRDefault="002246E8">
      <w:pPr>
        <w:pStyle w:val="a3"/>
        <w:ind w:left="0" w:firstLine="0"/>
        <w:rPr>
          <w:sz w:val="20"/>
        </w:rPr>
      </w:pPr>
    </w:p>
    <w:p w14:paraId="4C21143B" w14:textId="77777777" w:rsidR="002246E8" w:rsidRDefault="002246E8">
      <w:pPr>
        <w:pStyle w:val="a3"/>
        <w:spacing w:before="10"/>
        <w:ind w:left="0" w:firstLine="0"/>
        <w:rPr>
          <w:sz w:val="24"/>
        </w:rPr>
      </w:pPr>
    </w:p>
    <w:p w14:paraId="2C120A41" w14:textId="3ECCB9F2" w:rsidR="002246E8" w:rsidRDefault="00CE3B6D">
      <w:pPr>
        <w:pStyle w:val="a3"/>
        <w:spacing w:before="54" w:line="326" w:lineRule="auto"/>
        <w:ind w:right="274" w:firstLine="0"/>
      </w:pPr>
      <w:r w:rsidRPr="00CE3B6D">
        <w:rPr>
          <w:rFonts w:eastAsia="PMingLiU" w:hint="eastAsia"/>
          <w:spacing w:val="-11"/>
          <w:lang w:eastAsia="zh-TW"/>
        </w:rPr>
        <w:t>處理，相應紅股可于處理日下一港股通交易日上市交易。投資者</w:t>
      </w:r>
      <w:r w:rsidRPr="00CE3B6D">
        <w:rPr>
          <w:rFonts w:eastAsia="PMingLiU" w:hint="eastAsia"/>
          <w:lang w:eastAsia="zh-TW"/>
        </w:rPr>
        <w:t>紅股可賣首日均較香港市場晚一個港股通交易日。</w:t>
      </w:r>
    </w:p>
    <w:p w14:paraId="4B202BE4" w14:textId="7E521753" w:rsidR="002246E8" w:rsidRDefault="00CE3B6D">
      <w:pPr>
        <w:pStyle w:val="a3"/>
        <w:spacing w:before="6" w:line="328" w:lineRule="auto"/>
        <w:ind w:right="159"/>
      </w:pPr>
      <w:r w:rsidRPr="00CE3B6D">
        <w:rPr>
          <w:rFonts w:eastAsia="PMingLiU" w:hint="eastAsia"/>
          <w:spacing w:val="-12"/>
          <w:lang w:eastAsia="zh-TW"/>
        </w:rPr>
        <w:t>三十四、提示投資者注意，由于中國結算是在匯總投資者意</w:t>
      </w:r>
      <w:r w:rsidRPr="00CE3B6D">
        <w:rPr>
          <w:rFonts w:eastAsia="PMingLiU" w:hint="eastAsia"/>
          <w:spacing w:val="-17"/>
          <w:lang w:eastAsia="zh-TW"/>
        </w:rPr>
        <w:t>願後再向香港結算提交投票意願，中國結算對投資者設定的意願徵集期比香港結算的徵集期稍早結束；投票沒有權益登記日的，</w:t>
      </w:r>
      <w:r w:rsidRPr="00CE3B6D">
        <w:rPr>
          <w:rFonts w:eastAsia="PMingLiU"/>
          <w:spacing w:val="-17"/>
          <w:lang w:eastAsia="zh-TW"/>
        </w:rPr>
        <w:t xml:space="preserve"> </w:t>
      </w:r>
      <w:r w:rsidRPr="00CE3B6D">
        <w:rPr>
          <w:rFonts w:eastAsia="PMingLiU" w:hint="eastAsia"/>
          <w:spacing w:val="-1"/>
          <w:lang w:eastAsia="zh-TW"/>
        </w:rPr>
        <w:t>以投票截止日的持有作爲計算基準；投票數量超出持有數量的，</w:t>
      </w:r>
      <w:r w:rsidRPr="00CE3B6D">
        <w:rPr>
          <w:rFonts w:eastAsia="PMingLiU"/>
          <w:spacing w:val="-1"/>
          <w:lang w:eastAsia="zh-TW"/>
        </w:rPr>
        <w:t xml:space="preserve"> </w:t>
      </w:r>
      <w:r w:rsidRPr="00CE3B6D">
        <w:rPr>
          <w:rFonts w:eastAsia="PMingLiU" w:hint="eastAsia"/>
          <w:lang w:eastAsia="zh-TW"/>
        </w:rPr>
        <w:t>按照比例分配持有基數。</w:t>
      </w:r>
    </w:p>
    <w:p w14:paraId="2C40A039" w14:textId="674D811C" w:rsidR="002246E8" w:rsidRDefault="00CE3B6D">
      <w:pPr>
        <w:pStyle w:val="a3"/>
        <w:spacing w:line="328" w:lineRule="auto"/>
        <w:ind w:right="267"/>
        <w:jc w:val="both"/>
      </w:pPr>
      <w:r w:rsidRPr="00CE3B6D">
        <w:rPr>
          <w:rFonts w:eastAsia="PMingLiU" w:hint="eastAsia"/>
          <w:spacing w:val="-12"/>
          <w:lang w:eastAsia="zh-TW"/>
        </w:rPr>
        <w:t>三十五、提示投資者注意，對于在聯交所上市公司派發的紅</w:t>
      </w:r>
      <w:r w:rsidRPr="00CE3B6D">
        <w:rPr>
          <w:rFonts w:eastAsia="PMingLiU" w:hint="eastAsia"/>
          <w:spacing w:val="-17"/>
          <w:lang w:eastAsia="zh-TW"/>
        </w:rPr>
        <w:t>股以及港股通標的證券分拆及合幷業務産生的零碎證券，中國結算對投資者賬戶中小于</w:t>
      </w:r>
      <w:r w:rsidRPr="00CE3B6D">
        <w:rPr>
          <w:rFonts w:eastAsia="PMingLiU"/>
          <w:spacing w:val="-17"/>
          <w:lang w:eastAsia="zh-TW"/>
        </w:rPr>
        <w:t>1</w:t>
      </w:r>
      <w:r w:rsidRPr="00CE3B6D">
        <w:rPr>
          <w:rFonts w:eastAsia="PMingLiU" w:hint="eastAsia"/>
          <w:spacing w:val="-6"/>
          <w:lang w:eastAsia="zh-TW"/>
        </w:rPr>
        <w:t>單位的零碎證券進行舍尾處理。當香港</w:t>
      </w:r>
      <w:r w:rsidRPr="00CE3B6D">
        <w:rPr>
          <w:rFonts w:eastAsia="PMingLiU" w:hint="eastAsia"/>
          <w:spacing w:val="-14"/>
          <w:lang w:eastAsia="zh-TW"/>
        </w:rPr>
        <w:t>結算發放的紅股總數或分拆、合幷證券數額大于投資者賬戶舍尾取整後的總數的，中國結算按照精確算法分配差額部分。</w:t>
      </w:r>
    </w:p>
    <w:p w14:paraId="464F6EBE" w14:textId="5588E08D" w:rsidR="002246E8" w:rsidRDefault="00CE3B6D">
      <w:pPr>
        <w:pStyle w:val="a3"/>
        <w:spacing w:line="328" w:lineRule="auto"/>
        <w:ind w:right="272"/>
        <w:jc w:val="both"/>
      </w:pPr>
      <w:r w:rsidRPr="00CE3B6D">
        <w:rPr>
          <w:rFonts w:eastAsia="PMingLiU" w:hint="eastAsia"/>
          <w:spacing w:val="-13"/>
          <w:lang w:eastAsia="zh-TW"/>
        </w:rPr>
        <w:t>三十六、提示投資者注意，由于香港市場的費用收取或匯率</w:t>
      </w:r>
      <w:r w:rsidRPr="00CE3B6D">
        <w:rPr>
          <w:rFonts w:eastAsia="PMingLiU" w:hint="eastAsia"/>
          <w:spacing w:val="-11"/>
          <w:lang w:eastAsia="zh-TW"/>
        </w:rPr>
        <w:t>的大幅波動等原因，可能會引起投資者賬戶的透支，投資者應當</w:t>
      </w:r>
      <w:r w:rsidRPr="00CE3B6D">
        <w:rPr>
          <w:rFonts w:eastAsia="PMingLiU" w:hint="eastAsia"/>
          <w:lang w:eastAsia="zh-TW"/>
        </w:rPr>
        <w:t>對賬戶內的餘額進行關注。</w:t>
      </w:r>
    </w:p>
    <w:p w14:paraId="7058462A" w14:textId="2397CA98" w:rsidR="002246E8" w:rsidRDefault="00CE3B6D">
      <w:pPr>
        <w:pStyle w:val="a3"/>
        <w:spacing w:line="328" w:lineRule="auto"/>
        <w:ind w:right="272"/>
        <w:jc w:val="both"/>
      </w:pPr>
      <w:r w:rsidRPr="00CE3B6D">
        <w:rPr>
          <w:rFonts w:eastAsia="PMingLiU" w:hint="eastAsia"/>
          <w:spacing w:val="-13"/>
          <w:lang w:eastAsia="zh-TW"/>
        </w:rPr>
        <w:t>三十七、提示投資者注意，香港結算因極端情况下無法交付</w:t>
      </w:r>
      <w:r w:rsidRPr="00CE3B6D">
        <w:rPr>
          <w:rFonts w:eastAsia="PMingLiU" w:hint="eastAsia"/>
          <w:spacing w:val="-9"/>
          <w:lang w:eastAsia="zh-TW"/>
        </w:rPr>
        <w:t>證券對中國結算實施現金結算的，中國結算將參照香港結算的處</w:t>
      </w:r>
      <w:r w:rsidRPr="00CE3B6D">
        <w:rPr>
          <w:rFonts w:eastAsia="PMingLiU" w:hint="eastAsia"/>
          <w:lang w:eastAsia="zh-TW"/>
        </w:rPr>
        <w:t>理原則進行相應業務處理。</w:t>
      </w:r>
    </w:p>
    <w:p w14:paraId="05889C9E" w14:textId="421C6AE9" w:rsidR="002246E8" w:rsidRDefault="00CE3B6D">
      <w:pPr>
        <w:pStyle w:val="a3"/>
        <w:spacing w:line="328" w:lineRule="auto"/>
        <w:ind w:right="268"/>
        <w:jc w:val="both"/>
      </w:pPr>
      <w:r w:rsidRPr="00CE3B6D">
        <w:rPr>
          <w:rFonts w:eastAsia="PMingLiU" w:hint="eastAsia"/>
          <w:spacing w:val="-12"/>
          <w:lang w:eastAsia="zh-TW"/>
        </w:rPr>
        <w:t>三十八、提示投資者注意，港股通境內結算實施分級結算原</w:t>
      </w:r>
      <w:r w:rsidRPr="00CE3B6D">
        <w:rPr>
          <w:rFonts w:eastAsia="PMingLiU" w:hint="eastAsia"/>
          <w:spacing w:val="-10"/>
          <w:w w:val="99"/>
          <w:lang w:eastAsia="zh-TW"/>
        </w:rPr>
        <w:t>則。投資者可能面臨以下風險：</w:t>
      </w:r>
      <w:r w:rsidRPr="00CE3B6D">
        <w:rPr>
          <w:rFonts w:eastAsia="PMingLiU" w:hint="eastAsia"/>
          <w:spacing w:val="2"/>
          <w:w w:val="99"/>
          <w:lang w:eastAsia="zh-TW"/>
        </w:rPr>
        <w:t>（一）因結算參與人未完成與中</w:t>
      </w:r>
      <w:r w:rsidRPr="00CE3B6D">
        <w:rPr>
          <w:rFonts w:eastAsia="PMingLiU" w:hint="eastAsia"/>
          <w:spacing w:val="-11"/>
          <w:lang w:eastAsia="zh-TW"/>
        </w:rPr>
        <w:t>國結算的集中交收，導致投資者應收資金或證券被暫不交付或處</w:t>
      </w:r>
      <w:r w:rsidRPr="00CE3B6D">
        <w:rPr>
          <w:rFonts w:eastAsia="PMingLiU" w:hint="eastAsia"/>
          <w:spacing w:val="-79"/>
          <w:w w:val="99"/>
          <w:lang w:eastAsia="zh-TW"/>
        </w:rPr>
        <w:t>置；</w:t>
      </w:r>
      <w:r w:rsidRPr="00CE3B6D">
        <w:rPr>
          <w:rFonts w:eastAsia="PMingLiU" w:hint="eastAsia"/>
          <w:spacing w:val="2"/>
          <w:w w:val="99"/>
          <w:lang w:eastAsia="zh-TW"/>
        </w:rPr>
        <w:t>（二）</w:t>
      </w:r>
      <w:r w:rsidRPr="00CE3B6D">
        <w:rPr>
          <w:rFonts w:eastAsia="PMingLiU" w:hint="eastAsia"/>
          <w:spacing w:val="1"/>
          <w:w w:val="99"/>
          <w:lang w:eastAsia="zh-TW"/>
        </w:rPr>
        <w:t>結算參與人對投資者出現交收違約導致投資者未能取</w:t>
      </w:r>
    </w:p>
    <w:p w14:paraId="64ED077A" w14:textId="77777777" w:rsidR="002246E8" w:rsidRDefault="002246E8">
      <w:pPr>
        <w:spacing w:line="328" w:lineRule="auto"/>
        <w:jc w:val="both"/>
        <w:sectPr w:rsidR="002246E8">
          <w:pgSz w:w="11910" w:h="16840"/>
          <w:pgMar w:top="1580" w:right="1200" w:bottom="1280" w:left="1480" w:header="0" w:footer="1146" w:gutter="0"/>
          <w:cols w:space="720"/>
        </w:sectPr>
      </w:pPr>
    </w:p>
    <w:p w14:paraId="7444C85B" w14:textId="77777777" w:rsidR="002246E8" w:rsidRDefault="002246E8">
      <w:pPr>
        <w:pStyle w:val="a3"/>
        <w:ind w:left="0" w:firstLine="0"/>
        <w:rPr>
          <w:sz w:val="20"/>
        </w:rPr>
      </w:pPr>
    </w:p>
    <w:p w14:paraId="0DC740A0" w14:textId="77777777" w:rsidR="002246E8" w:rsidRDefault="002246E8">
      <w:pPr>
        <w:pStyle w:val="a3"/>
        <w:spacing w:before="10"/>
        <w:ind w:left="0" w:firstLine="0"/>
        <w:rPr>
          <w:sz w:val="24"/>
        </w:rPr>
      </w:pPr>
    </w:p>
    <w:p w14:paraId="3006ED74" w14:textId="70853D4B" w:rsidR="002246E8" w:rsidRDefault="00CE3B6D">
      <w:pPr>
        <w:pStyle w:val="a3"/>
        <w:spacing w:before="54" w:line="328" w:lineRule="auto"/>
        <w:ind w:right="268" w:firstLine="0"/>
        <w:jc w:val="both"/>
      </w:pPr>
      <w:r w:rsidRPr="00CE3B6D">
        <w:rPr>
          <w:rFonts w:eastAsia="PMingLiU" w:hint="eastAsia"/>
          <w:spacing w:val="-16"/>
          <w:w w:val="99"/>
          <w:lang w:eastAsia="zh-TW"/>
        </w:rPr>
        <w:t>得應收證券或資金；</w:t>
      </w:r>
      <w:r w:rsidRPr="00CE3B6D">
        <w:rPr>
          <w:rFonts w:eastAsia="PMingLiU" w:hint="eastAsia"/>
          <w:spacing w:val="2"/>
          <w:w w:val="99"/>
          <w:lang w:eastAsia="zh-TW"/>
        </w:rPr>
        <w:t>（三）結算參與人向中國結算發送的有關投</w:t>
      </w:r>
      <w:r w:rsidRPr="00CE3B6D">
        <w:rPr>
          <w:rFonts w:eastAsia="PMingLiU" w:hint="eastAsia"/>
          <w:spacing w:val="-6"/>
          <w:w w:val="99"/>
          <w:lang w:eastAsia="zh-TW"/>
        </w:rPr>
        <w:t>資者的證券劃付指令有誤的導致投資者權益受損；</w:t>
      </w:r>
      <w:r w:rsidRPr="00CE3B6D">
        <w:rPr>
          <w:rFonts w:eastAsia="PMingLiU" w:hint="eastAsia"/>
          <w:spacing w:val="2"/>
          <w:w w:val="99"/>
          <w:lang w:eastAsia="zh-TW"/>
        </w:rPr>
        <w:t>（四）其他因</w:t>
      </w:r>
      <w:r w:rsidRPr="00CE3B6D">
        <w:rPr>
          <w:rFonts w:eastAsia="PMingLiU" w:hint="eastAsia"/>
          <w:spacing w:val="6"/>
          <w:w w:val="95"/>
          <w:lang w:eastAsia="zh-TW"/>
        </w:rPr>
        <w:t>結算參與人未遵守相關業務規則導致投資者利益受到損害的情</w:t>
      </w:r>
      <w:r w:rsidRPr="00CE3B6D">
        <w:rPr>
          <w:rFonts w:eastAsia="PMingLiU"/>
          <w:spacing w:val="6"/>
          <w:w w:val="95"/>
          <w:lang w:eastAsia="zh-TW"/>
        </w:rPr>
        <w:t xml:space="preserve"> </w:t>
      </w:r>
      <w:r w:rsidRPr="00CE3B6D">
        <w:rPr>
          <w:rFonts w:eastAsia="PMingLiU" w:hint="eastAsia"/>
          <w:spacing w:val="6"/>
          <w:lang w:eastAsia="zh-TW"/>
        </w:rPr>
        <w:t>况。</w:t>
      </w:r>
    </w:p>
    <w:p w14:paraId="14D03EE1" w14:textId="78821D11" w:rsidR="002246E8" w:rsidRDefault="00CE3B6D">
      <w:pPr>
        <w:pStyle w:val="a3"/>
        <w:spacing w:line="328" w:lineRule="auto"/>
        <w:ind w:right="272"/>
        <w:jc w:val="both"/>
      </w:pPr>
      <w:r w:rsidRPr="00CE3B6D">
        <w:rPr>
          <w:rFonts w:eastAsia="PMingLiU" w:hint="eastAsia"/>
          <w:spacing w:val="-13"/>
          <w:lang w:eastAsia="zh-TW"/>
        </w:rPr>
        <w:t>三十九、提示投資者注意，香港市場收費標準與內地市場收</w:t>
      </w:r>
      <w:r w:rsidRPr="00CE3B6D">
        <w:rPr>
          <w:rFonts w:eastAsia="PMingLiU" w:hint="eastAsia"/>
          <w:spacing w:val="-11"/>
          <w:lang w:eastAsia="zh-TW"/>
        </w:rPr>
        <w:t>費標準不同，香港地區與內地在稅收安排方面也存在差异，投資</w:t>
      </w:r>
      <w:r w:rsidRPr="00CE3B6D">
        <w:rPr>
          <w:rFonts w:eastAsia="PMingLiU" w:hint="eastAsia"/>
          <w:spacing w:val="-12"/>
          <w:lang w:eastAsia="zh-TW"/>
        </w:rPr>
        <w:t>者買賣港股通標的證券，應當按照香港市場有關規定交納相關費</w:t>
      </w:r>
      <w:r w:rsidRPr="00CE3B6D">
        <w:rPr>
          <w:rFonts w:eastAsia="PMingLiU" w:hint="eastAsia"/>
          <w:lang w:eastAsia="zh-TW"/>
        </w:rPr>
        <w:t>用，幷按照香港地區相關規定繳納稅款。</w:t>
      </w:r>
    </w:p>
    <w:p w14:paraId="1408F902" w14:textId="4F647D83" w:rsidR="002246E8" w:rsidRDefault="00CE3B6D">
      <w:pPr>
        <w:pStyle w:val="a3"/>
        <w:spacing w:line="328" w:lineRule="auto"/>
        <w:ind w:right="272"/>
        <w:jc w:val="both"/>
      </w:pPr>
      <w:r w:rsidRPr="00CE3B6D">
        <w:rPr>
          <w:rFonts w:eastAsia="PMingLiU" w:hint="eastAsia"/>
          <w:spacing w:val="-12"/>
          <w:lang w:eastAsia="zh-TW"/>
        </w:rPr>
        <w:t>四十、提示投資者注意，對于因深交所、中國結算制定、修</w:t>
      </w:r>
      <w:r w:rsidRPr="00CE3B6D">
        <w:rPr>
          <w:rFonts w:eastAsia="PMingLiU" w:hint="eastAsia"/>
          <w:spacing w:val="6"/>
          <w:w w:val="95"/>
          <w:lang w:eastAsia="zh-TW"/>
        </w:rPr>
        <w:t>改業務規則，或者根據業務規則履行自律監管職責等造成的損</w:t>
      </w:r>
      <w:r w:rsidRPr="00CE3B6D">
        <w:rPr>
          <w:rFonts w:eastAsia="PMingLiU"/>
          <w:spacing w:val="6"/>
          <w:w w:val="95"/>
          <w:lang w:eastAsia="zh-TW"/>
        </w:rPr>
        <w:t xml:space="preserve"> </w:t>
      </w:r>
      <w:r w:rsidRPr="00CE3B6D">
        <w:rPr>
          <w:rFonts w:eastAsia="PMingLiU" w:hint="eastAsia"/>
          <w:spacing w:val="-13"/>
          <w:lang w:eastAsia="zh-TW"/>
        </w:rPr>
        <w:t>失，深交所和中國結算不承擔責任；投資者還應當充分知曉幷認</w:t>
      </w:r>
      <w:r w:rsidRPr="00CE3B6D">
        <w:rPr>
          <w:rFonts w:eastAsia="PMingLiU" w:hint="eastAsia"/>
          <w:spacing w:val="-7"/>
          <w:lang w:eastAsia="zh-TW"/>
        </w:rPr>
        <w:t>可聯交所在其規則中規定的相關責任豁免條款，包括但不限于對</w:t>
      </w:r>
      <w:r w:rsidRPr="00CE3B6D">
        <w:rPr>
          <w:rFonts w:eastAsia="PMingLiU" w:hint="eastAsia"/>
          <w:spacing w:val="-12"/>
          <w:lang w:eastAsia="zh-TW"/>
        </w:rPr>
        <w:t>因制定、修改業務規則、根據業務規則履行自律監管職責、發生</w:t>
      </w:r>
      <w:r w:rsidRPr="00CE3B6D">
        <w:rPr>
          <w:rFonts w:eastAsia="PMingLiU" w:hint="eastAsia"/>
          <w:lang w:eastAsia="zh-TW"/>
        </w:rPr>
        <w:t>或處置交易异常情况等導致的損失不承擔責任的規定。</w:t>
      </w:r>
    </w:p>
    <w:p w14:paraId="37458F34" w14:textId="1C103714" w:rsidR="002246E8" w:rsidRDefault="00CE3B6D">
      <w:pPr>
        <w:pStyle w:val="a3"/>
        <w:spacing w:line="326" w:lineRule="auto"/>
        <w:ind w:right="272"/>
        <w:jc w:val="both"/>
      </w:pPr>
      <w:r w:rsidRPr="00CE3B6D">
        <w:rPr>
          <w:rFonts w:eastAsia="PMingLiU" w:hint="eastAsia"/>
          <w:spacing w:val="-13"/>
          <w:lang w:eastAsia="zh-TW"/>
        </w:rPr>
        <w:t>四十一、除上述風險提示外，各證券公司還可以根據具體情</w:t>
      </w:r>
      <w:r w:rsidRPr="00CE3B6D">
        <w:rPr>
          <w:rFonts w:eastAsia="PMingLiU" w:hint="eastAsia"/>
          <w:spacing w:val="-10"/>
          <w:lang w:eastAsia="zh-TW"/>
        </w:rPr>
        <w:t>况在本公司制定的《深圳證券交易所港股通交易風險揭示書》中</w:t>
      </w:r>
      <w:r w:rsidRPr="00CE3B6D">
        <w:rPr>
          <w:rFonts w:eastAsia="PMingLiU" w:hint="eastAsia"/>
          <w:lang w:eastAsia="zh-TW"/>
        </w:rPr>
        <w:t>對港股通交易存在的風險做進一步列舉。</w:t>
      </w:r>
    </w:p>
    <w:p w14:paraId="029390B1" w14:textId="37437E3F" w:rsidR="002246E8" w:rsidRDefault="00CE3B6D">
      <w:pPr>
        <w:pStyle w:val="a3"/>
        <w:spacing w:line="328" w:lineRule="auto"/>
        <w:ind w:right="274"/>
        <w:jc w:val="both"/>
      </w:pPr>
      <w:r w:rsidRPr="00CE3B6D">
        <w:rPr>
          <w:rFonts w:eastAsia="PMingLiU" w:hint="eastAsia"/>
          <w:spacing w:val="-9"/>
          <w:lang w:eastAsia="zh-TW"/>
        </w:rPr>
        <w:t>風險揭示書應以醒目的文字載明：本《深圳證券交易所港股</w:t>
      </w:r>
      <w:r w:rsidRPr="00CE3B6D">
        <w:rPr>
          <w:rFonts w:eastAsia="PMingLiU" w:hint="eastAsia"/>
          <w:spacing w:val="-11"/>
          <w:lang w:eastAsia="zh-TW"/>
        </w:rPr>
        <w:t>通交易風險揭示書》的揭示事項僅爲列舉性質，未能詳盡列明港</w:t>
      </w:r>
      <w:r w:rsidRPr="00CE3B6D">
        <w:rPr>
          <w:rFonts w:eastAsia="PMingLiU" w:hint="eastAsia"/>
          <w:spacing w:val="-9"/>
          <w:lang w:eastAsia="zh-TW"/>
        </w:rPr>
        <w:t>股通交易的所有風險因素，投資者在參與港股通交易前，還應認真閱讀相關業務規則和協議條款，對港股通交易特有的規則必須</w:t>
      </w:r>
      <w:r w:rsidRPr="00CE3B6D">
        <w:rPr>
          <w:rFonts w:eastAsia="PMingLiU" w:hint="eastAsia"/>
          <w:spacing w:val="6"/>
          <w:w w:val="95"/>
          <w:lang w:eastAsia="zh-TW"/>
        </w:rPr>
        <w:t>有所瞭解和掌握，幷確信自己已做好足够的風險評估與財務安</w:t>
      </w:r>
    </w:p>
    <w:p w14:paraId="72227EC2" w14:textId="77777777" w:rsidR="002246E8" w:rsidRDefault="002246E8">
      <w:pPr>
        <w:spacing w:line="328" w:lineRule="auto"/>
        <w:jc w:val="both"/>
        <w:sectPr w:rsidR="002246E8">
          <w:pgSz w:w="11910" w:h="16840"/>
          <w:pgMar w:top="1580" w:right="1200" w:bottom="1340" w:left="1480" w:header="0" w:footer="1086" w:gutter="0"/>
          <w:cols w:space="720"/>
        </w:sectPr>
      </w:pPr>
    </w:p>
    <w:p w14:paraId="3065DBFB" w14:textId="77777777" w:rsidR="002246E8" w:rsidRDefault="002246E8">
      <w:pPr>
        <w:pStyle w:val="a3"/>
        <w:ind w:left="0" w:firstLine="0"/>
        <w:rPr>
          <w:sz w:val="20"/>
        </w:rPr>
      </w:pPr>
    </w:p>
    <w:p w14:paraId="4EB4EE32" w14:textId="77777777" w:rsidR="002246E8" w:rsidRDefault="002246E8">
      <w:pPr>
        <w:pStyle w:val="a3"/>
        <w:spacing w:before="10"/>
        <w:ind w:left="0" w:firstLine="0"/>
        <w:rPr>
          <w:sz w:val="24"/>
        </w:rPr>
      </w:pPr>
    </w:p>
    <w:p w14:paraId="0E22CEFB" w14:textId="4ACF42FA" w:rsidR="002246E8" w:rsidRDefault="00CE3B6D">
      <w:pPr>
        <w:pStyle w:val="a3"/>
        <w:spacing w:before="54"/>
        <w:ind w:firstLine="0"/>
      </w:pPr>
      <w:r w:rsidRPr="00CE3B6D">
        <w:rPr>
          <w:rFonts w:eastAsia="PMingLiU" w:hint="eastAsia"/>
          <w:lang w:eastAsia="zh-TW"/>
        </w:rPr>
        <w:t>排，避免因參與港股通交易而遭受難以承受的損失。</w:t>
      </w:r>
    </w:p>
    <w:p w14:paraId="686B2C5A" w14:textId="302C9B00" w:rsidR="002246E8" w:rsidRDefault="00CE3B6D">
      <w:pPr>
        <w:pStyle w:val="a3"/>
        <w:spacing w:before="150" w:line="328" w:lineRule="auto"/>
        <w:ind w:right="272"/>
        <w:jc w:val="both"/>
      </w:pPr>
      <w:r w:rsidRPr="00CE3B6D">
        <w:rPr>
          <w:rFonts w:eastAsia="PMingLiU" w:hint="eastAsia"/>
          <w:spacing w:val="-10"/>
          <w:lang w:eastAsia="zh-TW"/>
        </w:rPr>
        <w:t>各證券公司應要求每個投資者在《深圳證券交易所港股通交</w:t>
      </w:r>
      <w:r w:rsidRPr="00CE3B6D">
        <w:rPr>
          <w:rFonts w:eastAsia="PMingLiU" w:hint="eastAsia"/>
          <w:spacing w:val="-12"/>
          <w:lang w:eastAsia="zh-TW"/>
        </w:rPr>
        <w:t>易風險揭示書》上簽字，確認已知曉幷理解《深圳證券交易所港</w:t>
      </w:r>
      <w:r w:rsidRPr="00CE3B6D">
        <w:rPr>
          <w:rFonts w:eastAsia="PMingLiU" w:hint="eastAsia"/>
          <w:spacing w:val="-11"/>
          <w:lang w:eastAsia="zh-TW"/>
        </w:rPr>
        <w:t>股通交易風險揭示書》的全部內容，願意承擔港股通交易的風險</w:t>
      </w:r>
      <w:r w:rsidRPr="00CE3B6D">
        <w:rPr>
          <w:rFonts w:eastAsia="PMingLiU" w:hint="eastAsia"/>
          <w:lang w:eastAsia="zh-TW"/>
        </w:rPr>
        <w:t>和損失。</w:t>
      </w:r>
    </w:p>
    <w:sectPr w:rsidR="002246E8">
      <w:pgSz w:w="11910" w:h="16840"/>
      <w:pgMar w:top="1580" w:right="1200" w:bottom="1280" w:left="1480" w:header="0"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1CA8" w14:textId="77777777" w:rsidR="000C7CA2" w:rsidRDefault="000C7CA2">
      <w:r>
        <w:separator/>
      </w:r>
    </w:p>
  </w:endnote>
  <w:endnote w:type="continuationSeparator" w:id="0">
    <w:p w14:paraId="675614AA" w14:textId="77777777" w:rsidR="000C7CA2" w:rsidRDefault="000C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swiss"/>
    <w:pitch w:val="variable"/>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51AF" w14:textId="77777777" w:rsidR="002246E8" w:rsidRDefault="00000000">
    <w:pPr>
      <w:pStyle w:val="a3"/>
      <w:spacing w:line="14" w:lineRule="auto"/>
      <w:ind w:left="0" w:firstLine="0"/>
      <w:rPr>
        <w:sz w:val="20"/>
      </w:rPr>
    </w:pPr>
    <w:r>
      <w:pict w14:anchorId="06F7B5A0">
        <v:shapetype id="_x0000_t202" coordsize="21600,21600" o:spt="202" path="m,l,21600r21600,l21600,xe">
          <v:stroke joinstyle="miter"/>
          <v:path gradientshapeok="t" o:connecttype="rect"/>
        </v:shapetype>
        <v:shape id="_x0000_s1025" type="#_x0000_t202" style="position:absolute;margin-left:89.75pt;margin-top:776.65pt;width:61.2pt;height:16.05pt;z-index:-15796224;mso-position-horizontal-relative:page;mso-position-vertical-relative:page" filled="f" stroked="f">
          <v:textbox inset="0,0,0,0">
            <w:txbxContent>
              <w:p w14:paraId="0FA23154" w14:textId="47E750B9" w:rsidR="002246E8" w:rsidRDefault="00CE3B6D">
                <w:pPr>
                  <w:spacing w:line="321" w:lineRule="exact"/>
                  <w:ind w:left="20"/>
                  <w:rPr>
                    <w:sz w:val="28"/>
                  </w:rPr>
                </w:pPr>
                <w:r w:rsidRPr="00CE3B6D">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00000000">
                  <w:t>1</w:t>
                </w:r>
                <w:r w:rsidRPr="00CE3B6D">
                  <w:rPr>
                    <w:rFonts w:eastAsia="PMingLiU"/>
                    <w:lang w:eastAsia="zh-TW"/>
                  </w:rPr>
                  <w:t>0</w:t>
                </w:r>
                <w:r w:rsidR="00000000">
                  <w:fldChar w:fldCharType="end"/>
                </w:r>
                <w:r w:rsidRPr="00CE3B6D">
                  <w:rPr>
                    <w:rFonts w:eastAsia="PMingLiU"/>
                    <w:sz w:val="28"/>
                    <w:lang w:eastAsia="zh-TW"/>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B199" w14:textId="77777777" w:rsidR="002246E8" w:rsidRDefault="00000000">
    <w:pPr>
      <w:pStyle w:val="a3"/>
      <w:spacing w:line="14" w:lineRule="auto"/>
      <w:ind w:left="0" w:firstLine="0"/>
      <w:rPr>
        <w:sz w:val="20"/>
      </w:rPr>
    </w:pPr>
    <w:r>
      <w:pict w14:anchorId="67FF6190">
        <v:shapetype id="_x0000_t202" coordsize="21600,21600" o:spt="202" path="m,l,21600r21600,l21600,xe">
          <v:stroke joinstyle="miter"/>
          <v:path gradientshapeok="t" o:connecttype="rect"/>
        </v:shapetype>
        <v:shape id="_x0000_s1026" type="#_x0000_t202" style="position:absolute;margin-left:460.35pt;margin-top:773.65pt;width:54.15pt;height:16.05pt;z-index:-15796736;mso-position-horizontal-relative:page;mso-position-vertical-relative:page" filled="f" stroked="f">
          <v:textbox inset="0,0,0,0">
            <w:txbxContent>
              <w:p w14:paraId="4B4EB21F" w14:textId="1F1222D4" w:rsidR="002246E8" w:rsidRDefault="00CE3B6D">
                <w:pPr>
                  <w:spacing w:line="321" w:lineRule="exact"/>
                  <w:ind w:left="20"/>
                  <w:rPr>
                    <w:sz w:val="28"/>
                  </w:rPr>
                </w:pPr>
                <w:r w:rsidRPr="00CE3B6D">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CE3B6D">
                  <w:rPr>
                    <w:rFonts w:eastAsia="PMingLiU"/>
                    <w:lang w:eastAsia="zh-TW"/>
                  </w:rPr>
                  <w:t>1</w:t>
                </w:r>
                <w:r w:rsidR="00000000">
                  <w:fldChar w:fldCharType="end"/>
                </w:r>
                <w:r w:rsidRPr="00CE3B6D">
                  <w:rPr>
                    <w:rFonts w:eastAsia="PMingLiU"/>
                    <w:sz w:val="28"/>
                    <w:lang w:eastAsia="zh-TW"/>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1ABA" w14:textId="77777777" w:rsidR="000C7CA2" w:rsidRDefault="000C7CA2">
      <w:r>
        <w:separator/>
      </w:r>
    </w:p>
  </w:footnote>
  <w:footnote w:type="continuationSeparator" w:id="0">
    <w:p w14:paraId="6DD8D5AE" w14:textId="77777777" w:rsidR="000C7CA2" w:rsidRDefault="000C7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246E8"/>
    <w:rsid w:val="000C7CA2"/>
    <w:rsid w:val="002246E8"/>
    <w:rsid w:val="00CE3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E3D6C"/>
  <w15:docId w15:val="{E3981740-7DC5-4A68-8C56-A50DF0C3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firstLine="640"/>
    </w:pPr>
    <w:rPr>
      <w:sz w:val="32"/>
      <w:szCs w:val="32"/>
    </w:rPr>
  </w:style>
  <w:style w:type="paragraph" w:styleId="a4">
    <w:name w:val="Title"/>
    <w:basedOn w:val="a"/>
    <w:uiPriority w:val="10"/>
    <w:qFormat/>
    <w:pPr>
      <w:spacing w:before="287"/>
      <w:ind w:left="2060" w:right="959" w:hanging="1272"/>
    </w:pPr>
    <w:rPr>
      <w:rFonts w:ascii="Arial Unicode MS" w:eastAsia="Arial Unicode MS" w:hAnsi="Arial Unicode MS" w:cs="Arial Unicode M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李思童</dc:creator>
  <cp:lastModifiedBy>21790074@qq.com</cp:lastModifiedBy>
  <cp:revision>2</cp:revision>
  <dcterms:created xsi:type="dcterms:W3CDTF">2022-09-12T15:32:00Z</dcterms:created>
  <dcterms:modified xsi:type="dcterms:W3CDTF">2022-09-12T15:32:00Z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2010</vt:lpwstr>
  </property>
  <property fmtid="{D5CDD505-2E9C-101B-9397-08002B2CF9AE}" pid="4" name="LastSaved">
    <vt:filetime>2022-09-12T00:00:00Z</vt:filetime>
  </property>
</Properties>
</file>