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A015" w14:textId="5EE32160" w:rsidR="00323169" w:rsidRPr="00323169" w:rsidRDefault="00323169" w:rsidP="00323169">
      <w:pPr>
        <w:widowControl/>
        <w:spacing w:line="420" w:lineRule="atLeast"/>
        <w:jc w:val="center"/>
        <w:rPr>
          <w:rFonts w:ascii="微软雅黑" w:eastAsia="微软雅黑" w:hAnsi="微软雅黑" w:cs="宋体" w:hint="eastAsia"/>
          <w:color w:val="000000"/>
          <w:kern w:val="0"/>
          <w:sz w:val="24"/>
          <w:szCs w:val="24"/>
        </w:rPr>
      </w:pPr>
      <w:r w:rsidRPr="00323169">
        <w:rPr>
          <w:rFonts w:ascii="宋体" w:eastAsia="PMingLiU" w:hAnsi="宋体" w:cs="宋体" w:hint="eastAsia"/>
          <w:b/>
          <w:bCs/>
          <w:color w:val="000000"/>
          <w:kern w:val="0"/>
          <w:sz w:val="24"/>
          <w:szCs w:val="24"/>
          <w:lang w:eastAsia="zh-TW"/>
        </w:rPr>
        <w:t>關于推進股權投資和創業投資份額轉讓試點工作的指導意見</w:t>
      </w:r>
    </w:p>
    <w:p w14:paraId="2161EEC4" w14:textId="203F915A"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rPr>
      </w:pPr>
      <w:r w:rsidRPr="00323169">
        <w:rPr>
          <w:rFonts w:ascii="微软雅黑" w:eastAsia="PMingLiU" w:hAnsi="微软雅黑" w:cs="宋体"/>
          <w:color w:val="000000"/>
          <w:kern w:val="0"/>
          <w:sz w:val="24"/>
          <w:szCs w:val="24"/>
          <w:lang w:eastAsia="zh-TW"/>
        </w:rPr>
        <w:t> </w:t>
      </w:r>
    </w:p>
    <w:p w14:paraId="4511A454" w14:textId="26D31319"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lang w:eastAsia="zh-TW"/>
        </w:rPr>
      </w:pPr>
      <w:r w:rsidRPr="00323169">
        <w:rPr>
          <w:rFonts w:ascii="宋体" w:eastAsia="PMingLiU" w:hAnsi="宋体" w:cs="宋体" w:hint="eastAsia"/>
          <w:color w:val="000000"/>
          <w:kern w:val="0"/>
          <w:sz w:val="24"/>
          <w:szCs w:val="24"/>
          <w:lang w:eastAsia="zh-TW"/>
        </w:rPr>
        <w:t xml:space="preserve">　　爲拓寬股權投資和創業投資退出渠道，完善私募投資基金行業“募投管退”良性循環生態體系和營商環境，推進北京國際科技創新中心建設，根據有關法律法規和文件規定，結合我市私募投資基金行業實際，現就進一步加快推進我市股權投資和創業投資份額轉讓試點</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以下簡稱份額轉讓試點</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工作，提出以下指導意見。</w:t>
      </w:r>
    </w:p>
    <w:p w14:paraId="50D9FD29" w14:textId="62018F81"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lang w:eastAsia="zh-TW"/>
        </w:rPr>
      </w:pPr>
      <w:r w:rsidRPr="00323169">
        <w:rPr>
          <w:rFonts w:ascii="宋体" w:eastAsia="PMingLiU" w:hAnsi="宋体" w:cs="宋体" w:hint="eastAsia"/>
          <w:color w:val="000000"/>
          <w:kern w:val="0"/>
          <w:sz w:val="24"/>
          <w:szCs w:val="24"/>
          <w:lang w:eastAsia="zh-TW"/>
        </w:rPr>
        <w:t xml:space="preserve">　　一、總體要求</w:t>
      </w:r>
    </w:p>
    <w:p w14:paraId="55D1F525" w14:textId="23DA80D9"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lang w:eastAsia="zh-TW"/>
        </w:rPr>
      </w:pPr>
      <w:r w:rsidRPr="00323169">
        <w:rPr>
          <w:rFonts w:ascii="宋体" w:eastAsia="PMingLiU" w:hAnsi="宋体" w:cs="宋体" w:hint="eastAsia"/>
          <w:color w:val="000000"/>
          <w:kern w:val="0"/>
          <w:sz w:val="24"/>
          <w:szCs w:val="24"/>
          <w:lang w:eastAsia="zh-TW"/>
        </w:rPr>
        <w:t xml:space="preserve">　　</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一</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工作目標。充分發揮國家服務業擴大開放綜合示範區和中國</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北京</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自由貿易試驗區政策優勢，拓寬股權投資和創業投資份額退出渠道，推動份額轉讓試點擴大規模、取得實效，吸引耐心資本支持科技創新，幷在全國發揮示範引領作用。</w:t>
      </w:r>
    </w:p>
    <w:p w14:paraId="72B671D1" w14:textId="554472B4"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lang w:eastAsia="zh-TW"/>
        </w:rPr>
      </w:pPr>
      <w:r w:rsidRPr="00323169">
        <w:rPr>
          <w:rFonts w:ascii="宋体" w:eastAsia="PMingLiU" w:hAnsi="宋体" w:cs="宋体" w:hint="eastAsia"/>
          <w:color w:val="000000"/>
          <w:kern w:val="0"/>
          <w:sz w:val="24"/>
          <w:szCs w:val="24"/>
          <w:lang w:eastAsia="zh-TW"/>
        </w:rPr>
        <w:t xml:space="preserve">　　</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二</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基本原則。按照“規範轉讓流程、促進份額轉讓、吸引耐心資本、打造北京樣板”的原則，創新轉讓機制，提高轉讓效率，積極穩妥開展份額轉讓試點。</w:t>
      </w:r>
    </w:p>
    <w:p w14:paraId="5C3955E9" w14:textId="6A0BFA82"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lang w:eastAsia="zh-TW"/>
        </w:rPr>
      </w:pPr>
      <w:r w:rsidRPr="00323169">
        <w:rPr>
          <w:rFonts w:ascii="宋体" w:eastAsia="PMingLiU" w:hAnsi="宋体" w:cs="宋体" w:hint="eastAsia"/>
          <w:color w:val="000000"/>
          <w:kern w:val="0"/>
          <w:sz w:val="24"/>
          <w:szCs w:val="24"/>
          <w:lang w:eastAsia="zh-TW"/>
        </w:rPr>
        <w:t xml:space="preserve">　　二、明確國資基金份額轉讓和退出路徑</w:t>
      </w:r>
    </w:p>
    <w:p w14:paraId="1EA1B692" w14:textId="3E743B78"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lang w:eastAsia="zh-TW"/>
        </w:rPr>
      </w:pPr>
      <w:r w:rsidRPr="00323169">
        <w:rPr>
          <w:rFonts w:ascii="宋体" w:eastAsia="PMingLiU" w:hAnsi="宋体" w:cs="宋体" w:hint="eastAsia"/>
          <w:color w:val="000000"/>
          <w:kern w:val="0"/>
          <w:sz w:val="24"/>
          <w:szCs w:val="24"/>
          <w:lang w:eastAsia="zh-TW"/>
        </w:rPr>
        <w:t xml:space="preserve">　　</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三</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支持各類國資相關基金份額</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包括但不限于國家出資企業及其擁有實際控制權的各級子企業出資形成的基金份額、各級政府投資基金出資形成的基金份額</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通過北京股權交易中心份額轉讓試點轉讓交易。對于存續期未滿但達到預期目標的政府投資基金出資形成的份額，經該基金行業主管部門審核後，可在北京股權交易中心份額轉讓試點轉讓交易。基金設立協議等對基金份額轉讓有明確規定或約定的，從其規定或約定。</w:t>
      </w:r>
    </w:p>
    <w:p w14:paraId="3CE5BA3C" w14:textId="161C99A8"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lang w:eastAsia="zh-TW"/>
        </w:rPr>
      </w:pPr>
      <w:r w:rsidRPr="00323169">
        <w:rPr>
          <w:rFonts w:ascii="宋体" w:eastAsia="PMingLiU" w:hAnsi="宋体" w:cs="宋体" w:hint="eastAsia"/>
          <w:color w:val="000000"/>
          <w:kern w:val="0"/>
          <w:sz w:val="24"/>
          <w:szCs w:val="24"/>
          <w:lang w:eastAsia="zh-TW"/>
        </w:rPr>
        <w:lastRenderedPageBreak/>
        <w:t xml:space="preserve">　　</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四</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簡化國資相關基金份額轉讓審批流程，采取市場化方式確定最終轉讓價格。首次轉讓報價應以評估或估值結果爲基準。</w:t>
      </w:r>
    </w:p>
    <w:p w14:paraId="5426564E" w14:textId="368359CC"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lang w:eastAsia="zh-TW"/>
        </w:rPr>
      </w:pPr>
      <w:r w:rsidRPr="00323169">
        <w:rPr>
          <w:rFonts w:ascii="宋体" w:eastAsia="PMingLiU" w:hAnsi="宋体" w:cs="宋体" w:hint="eastAsia"/>
          <w:color w:val="000000"/>
          <w:kern w:val="0"/>
          <w:sz w:val="24"/>
          <w:szCs w:val="24"/>
          <w:lang w:eastAsia="zh-TW"/>
        </w:rPr>
        <w:t xml:space="preserve">　　三、探索建立基金份額登記備案和出質服務體系</w:t>
      </w:r>
    </w:p>
    <w:p w14:paraId="5DC9C540" w14:textId="5F282F89"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lang w:eastAsia="zh-TW"/>
        </w:rPr>
      </w:pPr>
      <w:r w:rsidRPr="00323169">
        <w:rPr>
          <w:rFonts w:ascii="宋体" w:eastAsia="PMingLiU" w:hAnsi="宋体" w:cs="宋体" w:hint="eastAsia"/>
          <w:color w:val="000000"/>
          <w:kern w:val="0"/>
          <w:sz w:val="24"/>
          <w:szCs w:val="24"/>
          <w:lang w:eastAsia="zh-TW"/>
        </w:rPr>
        <w:t xml:space="preserve">　　</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五</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支持北京股權交易中心份額轉讓試點建立健全各類合夥制基金份額的登記備案及轉讓服務體系。基金份額在份額轉讓試點完成轉讓後，由北京股權交易中心出具基金份額轉讓憑證。</w:t>
      </w:r>
    </w:p>
    <w:p w14:paraId="20A11D11" w14:textId="6068E173"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rPr>
      </w:pPr>
      <w:r w:rsidRPr="00323169">
        <w:rPr>
          <w:rFonts w:ascii="宋体" w:eastAsia="PMingLiU" w:hAnsi="宋体" w:cs="宋体" w:hint="eastAsia"/>
          <w:color w:val="000000"/>
          <w:kern w:val="0"/>
          <w:sz w:val="24"/>
          <w:szCs w:val="24"/>
          <w:lang w:eastAsia="zh-TW"/>
        </w:rPr>
        <w:t xml:space="preserve">　　</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六</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探索開展有限合夥企業財産份額出質登記試點。鼓勵在京注册登記的有限合夥企業通過北京股權交易中心份額轉讓試點辦理有限合夥人的財産份額托管和出質登記業務。</w:t>
      </w:r>
    </w:p>
    <w:p w14:paraId="5FE4CF78" w14:textId="6D88B357"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lang w:eastAsia="zh-TW"/>
        </w:rPr>
      </w:pPr>
      <w:r w:rsidRPr="00323169">
        <w:rPr>
          <w:rFonts w:ascii="宋体" w:eastAsia="PMingLiU" w:hAnsi="宋体" w:cs="宋体" w:hint="eastAsia"/>
          <w:color w:val="000000"/>
          <w:kern w:val="0"/>
          <w:sz w:val="24"/>
          <w:szCs w:val="24"/>
          <w:lang w:eastAsia="zh-TW"/>
        </w:rPr>
        <w:t xml:space="preserve">　　四、支持設立私募股權二級市場基金</w:t>
      </w:r>
    </w:p>
    <w:p w14:paraId="67F81492" w14:textId="0C8A37DD"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rPr>
      </w:pPr>
      <w:r w:rsidRPr="00323169">
        <w:rPr>
          <w:rFonts w:ascii="宋体" w:eastAsia="PMingLiU" w:hAnsi="宋体" w:cs="宋体" w:hint="eastAsia"/>
          <w:color w:val="000000"/>
          <w:kern w:val="0"/>
          <w:sz w:val="24"/>
          <w:szCs w:val="24"/>
          <w:lang w:eastAsia="zh-TW"/>
        </w:rPr>
        <w:t xml:space="preserve">　　</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七</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支持在我市發起設立專業化的私募股權二級市場基金</w:t>
      </w:r>
      <w:r w:rsidRPr="00323169">
        <w:rPr>
          <w:rFonts w:ascii="微软雅黑" w:eastAsia="PMingLiU" w:hAnsi="微软雅黑" w:cs="宋体"/>
          <w:color w:val="000000"/>
          <w:kern w:val="0"/>
          <w:sz w:val="24"/>
          <w:szCs w:val="24"/>
          <w:lang w:eastAsia="zh-TW"/>
        </w:rPr>
        <w:t>(Secondary Fund</w:t>
      </w:r>
      <w:r w:rsidRPr="00323169">
        <w:rPr>
          <w:rFonts w:ascii="宋体" w:eastAsia="PMingLiU" w:hAnsi="宋体" w:cs="宋体" w:hint="eastAsia"/>
          <w:color w:val="000000"/>
          <w:kern w:val="0"/>
          <w:sz w:val="24"/>
          <w:szCs w:val="24"/>
          <w:lang w:eastAsia="zh-TW"/>
        </w:rPr>
        <w:t>，簡稱</w:t>
      </w:r>
      <w:r w:rsidRPr="00323169">
        <w:rPr>
          <w:rFonts w:ascii="微软雅黑" w:eastAsia="PMingLiU" w:hAnsi="微软雅黑" w:cs="宋体"/>
          <w:color w:val="000000"/>
          <w:kern w:val="0"/>
          <w:sz w:val="24"/>
          <w:szCs w:val="24"/>
          <w:lang w:eastAsia="zh-TW"/>
        </w:rPr>
        <w:t>S</w:t>
      </w:r>
      <w:r w:rsidRPr="00323169">
        <w:rPr>
          <w:rFonts w:ascii="宋体" w:eastAsia="PMingLiU" w:hAnsi="宋体" w:cs="宋体" w:hint="eastAsia"/>
          <w:color w:val="000000"/>
          <w:kern w:val="0"/>
          <w:sz w:val="24"/>
          <w:szCs w:val="24"/>
          <w:lang w:eastAsia="zh-TW"/>
        </w:rPr>
        <w:t>基金</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。支持符合條件的外資機構在京設立</w:t>
      </w:r>
      <w:r w:rsidRPr="00323169">
        <w:rPr>
          <w:rFonts w:ascii="微软雅黑" w:eastAsia="PMingLiU" w:hAnsi="微软雅黑" w:cs="宋体"/>
          <w:color w:val="000000"/>
          <w:kern w:val="0"/>
          <w:sz w:val="24"/>
          <w:szCs w:val="24"/>
          <w:lang w:eastAsia="zh-TW"/>
        </w:rPr>
        <w:t>S</w:t>
      </w:r>
      <w:r w:rsidRPr="00323169">
        <w:rPr>
          <w:rFonts w:ascii="宋体" w:eastAsia="PMingLiU" w:hAnsi="宋体" w:cs="宋体" w:hint="eastAsia"/>
          <w:color w:val="000000"/>
          <w:kern w:val="0"/>
          <w:sz w:val="24"/>
          <w:szCs w:val="24"/>
          <w:lang w:eastAsia="zh-TW"/>
        </w:rPr>
        <w:t>基金，幷進入份額轉讓試點參與相關業務。由北京證監局牽頭幷協調中國證券投資基金業協會，對符合條件的</w:t>
      </w:r>
      <w:r w:rsidRPr="00323169">
        <w:rPr>
          <w:rFonts w:ascii="微软雅黑" w:eastAsia="PMingLiU" w:hAnsi="微软雅黑" w:cs="宋体"/>
          <w:color w:val="000000"/>
          <w:kern w:val="0"/>
          <w:sz w:val="24"/>
          <w:szCs w:val="24"/>
          <w:lang w:eastAsia="zh-TW"/>
        </w:rPr>
        <w:t>S</w:t>
      </w:r>
      <w:r w:rsidRPr="00323169">
        <w:rPr>
          <w:rFonts w:ascii="宋体" w:eastAsia="PMingLiU" w:hAnsi="宋体" w:cs="宋体" w:hint="eastAsia"/>
          <w:color w:val="000000"/>
          <w:kern w:val="0"/>
          <w:sz w:val="24"/>
          <w:szCs w:val="24"/>
          <w:lang w:eastAsia="zh-TW"/>
        </w:rPr>
        <w:t>基金管理人設立和基金備案事項給予支持。探索國家服務業擴大開放綜合示範區外資政策和外匯政策在份額轉讓試點進行先行先試。</w:t>
      </w:r>
    </w:p>
    <w:p w14:paraId="333A070C" w14:textId="378FAE77"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rPr>
      </w:pPr>
      <w:r w:rsidRPr="00323169">
        <w:rPr>
          <w:rFonts w:ascii="宋体" w:eastAsia="PMingLiU" w:hAnsi="宋体" w:cs="宋体" w:hint="eastAsia"/>
          <w:color w:val="000000"/>
          <w:kern w:val="0"/>
          <w:sz w:val="24"/>
          <w:szCs w:val="24"/>
          <w:lang w:eastAsia="zh-TW"/>
        </w:rPr>
        <w:t xml:space="preserve">　　</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八</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對在京設立幷在中國證券投資基金業協會登記備案的</w:t>
      </w:r>
      <w:r w:rsidRPr="00323169">
        <w:rPr>
          <w:rFonts w:ascii="微软雅黑" w:eastAsia="PMingLiU" w:hAnsi="微软雅黑" w:cs="宋体"/>
          <w:color w:val="000000"/>
          <w:kern w:val="0"/>
          <w:sz w:val="24"/>
          <w:szCs w:val="24"/>
          <w:lang w:eastAsia="zh-TW"/>
        </w:rPr>
        <w:t>S</w:t>
      </w:r>
      <w:r w:rsidRPr="00323169">
        <w:rPr>
          <w:rFonts w:ascii="宋体" w:eastAsia="PMingLiU" w:hAnsi="宋体" w:cs="宋体" w:hint="eastAsia"/>
          <w:color w:val="000000"/>
          <w:kern w:val="0"/>
          <w:sz w:val="24"/>
          <w:szCs w:val="24"/>
          <w:lang w:eastAsia="zh-TW"/>
        </w:rPr>
        <w:t>基金給予政策支持。符合我市金融業現行支持政策和相關條件的</w:t>
      </w:r>
      <w:r w:rsidRPr="00323169">
        <w:rPr>
          <w:rFonts w:ascii="微软雅黑" w:eastAsia="PMingLiU" w:hAnsi="微软雅黑" w:cs="宋体"/>
          <w:color w:val="000000"/>
          <w:kern w:val="0"/>
          <w:sz w:val="24"/>
          <w:szCs w:val="24"/>
          <w:lang w:eastAsia="zh-TW"/>
        </w:rPr>
        <w:t>S</w:t>
      </w:r>
      <w:r w:rsidRPr="00323169">
        <w:rPr>
          <w:rFonts w:ascii="宋体" w:eastAsia="PMingLiU" w:hAnsi="宋体" w:cs="宋体" w:hint="eastAsia"/>
          <w:color w:val="000000"/>
          <w:kern w:val="0"/>
          <w:sz w:val="24"/>
          <w:szCs w:val="24"/>
          <w:lang w:eastAsia="zh-TW"/>
        </w:rPr>
        <w:t>基金，根據其在京實際投資規模對基金管理人給予政策激勵。實際投資累計規模達到</w:t>
      </w:r>
      <w:r w:rsidRPr="00323169">
        <w:rPr>
          <w:rFonts w:ascii="微软雅黑" w:eastAsia="PMingLiU" w:hAnsi="微软雅黑" w:cs="宋体"/>
          <w:color w:val="000000"/>
          <w:kern w:val="0"/>
          <w:sz w:val="24"/>
          <w:szCs w:val="24"/>
          <w:lang w:eastAsia="zh-TW"/>
        </w:rPr>
        <w:t>30</w:t>
      </w:r>
      <w:r w:rsidRPr="00323169">
        <w:rPr>
          <w:rFonts w:ascii="宋体" w:eastAsia="PMingLiU" w:hAnsi="宋体" w:cs="宋体" w:hint="eastAsia"/>
          <w:color w:val="000000"/>
          <w:kern w:val="0"/>
          <w:sz w:val="24"/>
          <w:szCs w:val="24"/>
          <w:lang w:eastAsia="zh-TW"/>
        </w:rPr>
        <w:t>億元</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含</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w:t>
      </w:r>
      <w:r w:rsidRPr="00323169">
        <w:rPr>
          <w:rFonts w:ascii="微软雅黑" w:eastAsia="PMingLiU" w:hAnsi="微软雅黑" w:cs="宋体"/>
          <w:color w:val="000000"/>
          <w:kern w:val="0"/>
          <w:sz w:val="24"/>
          <w:szCs w:val="24"/>
          <w:lang w:eastAsia="zh-TW"/>
        </w:rPr>
        <w:t>50</w:t>
      </w:r>
      <w:r w:rsidRPr="00323169">
        <w:rPr>
          <w:rFonts w:ascii="宋体" w:eastAsia="PMingLiU" w:hAnsi="宋体" w:cs="宋体" w:hint="eastAsia"/>
          <w:color w:val="000000"/>
          <w:kern w:val="0"/>
          <w:sz w:val="24"/>
          <w:szCs w:val="24"/>
          <w:lang w:eastAsia="zh-TW"/>
        </w:rPr>
        <w:t>億元以內的，給予一次性資金支持</w:t>
      </w:r>
      <w:r w:rsidRPr="00323169">
        <w:rPr>
          <w:rFonts w:ascii="微软雅黑" w:eastAsia="PMingLiU" w:hAnsi="微软雅黑" w:cs="宋体"/>
          <w:color w:val="000000"/>
          <w:kern w:val="0"/>
          <w:sz w:val="24"/>
          <w:szCs w:val="24"/>
          <w:lang w:eastAsia="zh-TW"/>
        </w:rPr>
        <w:t>1000</w:t>
      </w:r>
      <w:r w:rsidRPr="00323169">
        <w:rPr>
          <w:rFonts w:ascii="宋体" w:eastAsia="PMingLiU" w:hAnsi="宋体" w:cs="宋体" w:hint="eastAsia"/>
          <w:color w:val="000000"/>
          <w:kern w:val="0"/>
          <w:sz w:val="24"/>
          <w:szCs w:val="24"/>
          <w:lang w:eastAsia="zh-TW"/>
        </w:rPr>
        <w:t>萬元；</w:t>
      </w:r>
      <w:r w:rsidRPr="00323169">
        <w:rPr>
          <w:rFonts w:ascii="微软雅黑" w:eastAsia="PMingLiU" w:hAnsi="微软雅黑" w:cs="宋体"/>
          <w:color w:val="000000"/>
          <w:kern w:val="0"/>
          <w:sz w:val="24"/>
          <w:szCs w:val="24"/>
          <w:lang w:eastAsia="zh-TW"/>
        </w:rPr>
        <w:t>50</w:t>
      </w:r>
      <w:r w:rsidRPr="00323169">
        <w:rPr>
          <w:rFonts w:ascii="宋体" w:eastAsia="PMingLiU" w:hAnsi="宋体" w:cs="宋体" w:hint="eastAsia"/>
          <w:color w:val="000000"/>
          <w:kern w:val="0"/>
          <w:sz w:val="24"/>
          <w:szCs w:val="24"/>
          <w:lang w:eastAsia="zh-TW"/>
        </w:rPr>
        <w:t>億元</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含</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以上的，給予一次性資金支持</w:t>
      </w:r>
      <w:r w:rsidRPr="00323169">
        <w:rPr>
          <w:rFonts w:ascii="微软雅黑" w:eastAsia="PMingLiU" w:hAnsi="微软雅黑" w:cs="宋体"/>
          <w:color w:val="000000"/>
          <w:kern w:val="0"/>
          <w:sz w:val="24"/>
          <w:szCs w:val="24"/>
          <w:lang w:eastAsia="zh-TW"/>
        </w:rPr>
        <w:t>1500</w:t>
      </w:r>
      <w:r w:rsidRPr="00323169">
        <w:rPr>
          <w:rFonts w:ascii="宋体" w:eastAsia="PMingLiU" w:hAnsi="宋体" w:cs="宋体" w:hint="eastAsia"/>
          <w:color w:val="000000"/>
          <w:kern w:val="0"/>
          <w:sz w:val="24"/>
          <w:szCs w:val="24"/>
          <w:lang w:eastAsia="zh-TW"/>
        </w:rPr>
        <w:t>萬元。資金由市區兩級財政各分擔</w:t>
      </w:r>
      <w:r w:rsidRPr="00323169">
        <w:rPr>
          <w:rFonts w:ascii="微软雅黑" w:eastAsia="PMingLiU" w:hAnsi="微软雅黑" w:cs="宋体"/>
          <w:color w:val="000000"/>
          <w:kern w:val="0"/>
          <w:sz w:val="24"/>
          <w:szCs w:val="24"/>
          <w:lang w:eastAsia="zh-TW"/>
        </w:rPr>
        <w:t>50%</w:t>
      </w:r>
      <w:r w:rsidRPr="00323169">
        <w:rPr>
          <w:rFonts w:ascii="宋体" w:eastAsia="PMingLiU" w:hAnsi="宋体" w:cs="宋体" w:hint="eastAsia"/>
          <w:color w:val="000000"/>
          <w:kern w:val="0"/>
          <w:sz w:val="24"/>
          <w:szCs w:val="24"/>
          <w:lang w:eastAsia="zh-TW"/>
        </w:rPr>
        <w:t>。</w:t>
      </w:r>
    </w:p>
    <w:p w14:paraId="542D2150" w14:textId="109E7E66"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rPr>
      </w:pPr>
      <w:r w:rsidRPr="00323169">
        <w:rPr>
          <w:rFonts w:ascii="宋体" w:eastAsia="PMingLiU" w:hAnsi="宋体" w:cs="宋体" w:hint="eastAsia"/>
          <w:color w:val="000000"/>
          <w:kern w:val="0"/>
          <w:sz w:val="24"/>
          <w:szCs w:val="24"/>
          <w:lang w:eastAsia="zh-TW"/>
        </w:rPr>
        <w:lastRenderedPageBreak/>
        <w:t xml:space="preserve">　　</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九</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鼓勵銀行理財、券商、保險資管、信托公司及專業化第三方資管機構等市場主體在依法依規的前提下，不斷創新産品和服務，參與受讓北京股權交易中心份額轉讓試點轉讓的優質基金份額。</w:t>
      </w:r>
    </w:p>
    <w:p w14:paraId="6263DE9D" w14:textId="7B3CA61A"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rPr>
      </w:pPr>
      <w:r w:rsidRPr="00323169">
        <w:rPr>
          <w:rFonts w:ascii="宋体" w:eastAsia="PMingLiU" w:hAnsi="宋体" w:cs="宋体" w:hint="eastAsia"/>
          <w:color w:val="000000"/>
          <w:kern w:val="0"/>
          <w:sz w:val="24"/>
          <w:szCs w:val="24"/>
          <w:lang w:eastAsia="zh-TW"/>
        </w:rPr>
        <w:t xml:space="preserve">　　</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十</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鼓勵現有母基金引入</w:t>
      </w:r>
      <w:r w:rsidRPr="00323169">
        <w:rPr>
          <w:rFonts w:ascii="微软雅黑" w:eastAsia="PMingLiU" w:hAnsi="微软雅黑" w:cs="宋体"/>
          <w:color w:val="000000"/>
          <w:kern w:val="0"/>
          <w:sz w:val="24"/>
          <w:szCs w:val="24"/>
          <w:lang w:eastAsia="zh-TW"/>
        </w:rPr>
        <w:t>S</w:t>
      </w:r>
      <w:r w:rsidRPr="00323169">
        <w:rPr>
          <w:rFonts w:ascii="宋体" w:eastAsia="PMingLiU" w:hAnsi="宋体" w:cs="宋体" w:hint="eastAsia"/>
          <w:color w:val="000000"/>
          <w:kern w:val="0"/>
          <w:sz w:val="24"/>
          <w:szCs w:val="24"/>
          <w:lang w:eastAsia="zh-TW"/>
        </w:rPr>
        <w:t>策略，參與受讓在北京股權交易中心份額轉讓試點轉讓的優質基金份額或已投項目股權。</w:t>
      </w:r>
    </w:p>
    <w:p w14:paraId="2C602419" w14:textId="5ECF1285"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rPr>
      </w:pPr>
      <w:r w:rsidRPr="00323169">
        <w:rPr>
          <w:rFonts w:ascii="宋体" w:eastAsia="PMingLiU" w:hAnsi="宋体" w:cs="宋体" w:hint="eastAsia"/>
          <w:color w:val="000000"/>
          <w:kern w:val="0"/>
          <w:sz w:val="24"/>
          <w:szCs w:val="24"/>
          <w:lang w:eastAsia="zh-TW"/>
        </w:rPr>
        <w:t xml:space="preserve">　　</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十一</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鼓勵相關機構依法發起設立</w:t>
      </w:r>
      <w:r w:rsidRPr="00323169">
        <w:rPr>
          <w:rFonts w:ascii="微软雅黑" w:eastAsia="PMingLiU" w:hAnsi="微软雅黑" w:cs="宋体"/>
          <w:color w:val="000000"/>
          <w:kern w:val="0"/>
          <w:sz w:val="24"/>
          <w:szCs w:val="24"/>
          <w:lang w:eastAsia="zh-TW"/>
        </w:rPr>
        <w:t>S</w:t>
      </w:r>
      <w:r w:rsidRPr="00323169">
        <w:rPr>
          <w:rFonts w:ascii="宋体" w:eastAsia="PMingLiU" w:hAnsi="宋体" w:cs="宋体" w:hint="eastAsia"/>
          <w:color w:val="000000"/>
          <w:kern w:val="0"/>
          <w:sz w:val="24"/>
          <w:szCs w:val="24"/>
          <w:lang w:eastAsia="zh-TW"/>
        </w:rPr>
        <w:t>基金專業委員會等行業組織，通過開展行業交流、舉辦高峰論壇、組織投資者教育活動等多種方式，爲我市各類</w:t>
      </w:r>
      <w:r w:rsidRPr="00323169">
        <w:rPr>
          <w:rFonts w:ascii="微软雅黑" w:eastAsia="PMingLiU" w:hAnsi="微软雅黑" w:cs="宋体"/>
          <w:color w:val="000000"/>
          <w:kern w:val="0"/>
          <w:sz w:val="24"/>
          <w:szCs w:val="24"/>
          <w:lang w:eastAsia="zh-TW"/>
        </w:rPr>
        <w:t>S</w:t>
      </w:r>
      <w:r w:rsidRPr="00323169">
        <w:rPr>
          <w:rFonts w:ascii="宋体" w:eastAsia="PMingLiU" w:hAnsi="宋体" w:cs="宋体" w:hint="eastAsia"/>
          <w:color w:val="000000"/>
          <w:kern w:val="0"/>
          <w:sz w:val="24"/>
          <w:szCs w:val="24"/>
          <w:lang w:eastAsia="zh-TW"/>
        </w:rPr>
        <w:t>基金提供行業信息、宣傳培訓、合作交流、自律管理等服務，推動</w:t>
      </w:r>
      <w:r w:rsidRPr="00323169">
        <w:rPr>
          <w:rFonts w:ascii="微软雅黑" w:eastAsia="PMingLiU" w:hAnsi="微软雅黑" w:cs="宋体"/>
          <w:color w:val="000000"/>
          <w:kern w:val="0"/>
          <w:sz w:val="24"/>
          <w:szCs w:val="24"/>
          <w:lang w:eastAsia="zh-TW"/>
        </w:rPr>
        <w:t>S</w:t>
      </w:r>
      <w:r w:rsidRPr="00323169">
        <w:rPr>
          <w:rFonts w:ascii="宋体" w:eastAsia="PMingLiU" w:hAnsi="宋体" w:cs="宋体" w:hint="eastAsia"/>
          <w:color w:val="000000"/>
          <w:kern w:val="0"/>
          <w:sz w:val="24"/>
          <w:szCs w:val="24"/>
          <w:lang w:eastAsia="zh-TW"/>
        </w:rPr>
        <w:t>基金行業規範健康發展。</w:t>
      </w:r>
    </w:p>
    <w:p w14:paraId="7F559E9B" w14:textId="13623082"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rPr>
      </w:pPr>
      <w:r w:rsidRPr="00323169">
        <w:rPr>
          <w:rFonts w:ascii="宋体" w:eastAsia="PMingLiU" w:hAnsi="宋体" w:cs="宋体" w:hint="eastAsia"/>
          <w:color w:val="000000"/>
          <w:kern w:val="0"/>
          <w:sz w:val="24"/>
          <w:szCs w:val="24"/>
          <w:lang w:eastAsia="zh-TW"/>
        </w:rPr>
        <w:t xml:space="preserve">　　五、完善份額轉讓試點服務支持體系</w:t>
      </w:r>
    </w:p>
    <w:p w14:paraId="12B2A41C" w14:textId="79143025"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rPr>
      </w:pPr>
      <w:r w:rsidRPr="00323169">
        <w:rPr>
          <w:rFonts w:ascii="宋体" w:eastAsia="PMingLiU" w:hAnsi="宋体" w:cs="宋体" w:hint="eastAsia"/>
          <w:color w:val="000000"/>
          <w:kern w:val="0"/>
          <w:sz w:val="24"/>
          <w:szCs w:val="24"/>
          <w:lang w:eastAsia="zh-TW"/>
        </w:rPr>
        <w:t xml:space="preserve">　　</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十二</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支持中介服務機構參與份額轉讓試點，鼓勵各區爲參與份額轉讓試點的基金管理人和中介服務機構提供優質服務。各區可對積極參與份額轉讓試點的基金管理人和中介服務機構提供購租房補貼等支持，對貢獻較大的高級管理人員與核心業務骨幹給予一定資金激勵或保障服務。</w:t>
      </w:r>
    </w:p>
    <w:p w14:paraId="6A4E8D20" w14:textId="7B8B46B7"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rPr>
      </w:pPr>
      <w:r w:rsidRPr="00323169">
        <w:rPr>
          <w:rFonts w:ascii="宋体" w:eastAsia="PMingLiU" w:hAnsi="宋体" w:cs="宋体" w:hint="eastAsia"/>
          <w:color w:val="000000"/>
          <w:kern w:val="0"/>
          <w:sz w:val="24"/>
          <w:szCs w:val="24"/>
          <w:lang w:eastAsia="zh-TW"/>
        </w:rPr>
        <w:t xml:space="preserve">　　六、建立與行業管理部門的基金份額變更信息對接機制</w:t>
      </w:r>
    </w:p>
    <w:p w14:paraId="6289055A" w14:textId="7607541C"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rPr>
      </w:pPr>
      <w:r w:rsidRPr="00323169">
        <w:rPr>
          <w:rFonts w:ascii="宋体" w:eastAsia="PMingLiU" w:hAnsi="宋体" w:cs="宋体" w:hint="eastAsia"/>
          <w:color w:val="000000"/>
          <w:kern w:val="0"/>
          <w:sz w:val="24"/>
          <w:szCs w:val="24"/>
          <w:lang w:eastAsia="zh-TW"/>
        </w:rPr>
        <w:t xml:space="preserve">　　</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十三</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探索建立北京股權交易中心份額轉讓試點向中國證券投資基金業協會、市金融監管局等部門定期報送相關基金份額轉讓數據信息的工作機制，爲行業管理部門加强私募投資基金行業統計監測和研究分析提供服務。逐步探索依托我市大數據平臺金融數據專區建立各方信息共享機制，在符合國家和我市相關法律法規政策的前提下，持續創新信息共享方式。</w:t>
      </w:r>
    </w:p>
    <w:p w14:paraId="3D9F29C8" w14:textId="3F68BFAB"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rPr>
      </w:pPr>
      <w:r w:rsidRPr="00323169">
        <w:rPr>
          <w:rFonts w:ascii="宋体" w:eastAsia="PMingLiU" w:hAnsi="宋体" w:cs="宋体" w:hint="eastAsia"/>
          <w:color w:val="000000"/>
          <w:kern w:val="0"/>
          <w:sz w:val="24"/>
          <w:szCs w:val="24"/>
          <w:lang w:eastAsia="zh-TW"/>
        </w:rPr>
        <w:t xml:space="preserve">　　七、保障措施</w:t>
      </w:r>
    </w:p>
    <w:p w14:paraId="1E12C090" w14:textId="7230ABE2" w:rsidR="00323169" w:rsidRPr="00323169" w:rsidRDefault="00323169" w:rsidP="00323169">
      <w:pPr>
        <w:widowControl/>
        <w:spacing w:line="420" w:lineRule="atLeast"/>
        <w:jc w:val="left"/>
        <w:rPr>
          <w:rFonts w:ascii="微软雅黑" w:eastAsia="微软雅黑" w:hAnsi="微软雅黑" w:cs="宋体" w:hint="eastAsia"/>
          <w:color w:val="000000"/>
          <w:kern w:val="0"/>
          <w:sz w:val="24"/>
          <w:szCs w:val="24"/>
        </w:rPr>
      </w:pPr>
      <w:r w:rsidRPr="00323169">
        <w:rPr>
          <w:rFonts w:ascii="宋体" w:eastAsia="PMingLiU" w:hAnsi="宋体" w:cs="宋体" w:hint="eastAsia"/>
          <w:color w:val="000000"/>
          <w:kern w:val="0"/>
          <w:sz w:val="24"/>
          <w:szCs w:val="24"/>
          <w:lang w:eastAsia="zh-TW"/>
        </w:rPr>
        <w:lastRenderedPageBreak/>
        <w:t xml:space="preserve">　　</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十四</w:t>
      </w:r>
      <w:r w:rsidRPr="00323169">
        <w:rPr>
          <w:rFonts w:ascii="微软雅黑" w:eastAsia="PMingLiU" w:hAnsi="微软雅黑" w:cs="宋体"/>
          <w:color w:val="000000"/>
          <w:kern w:val="0"/>
          <w:sz w:val="24"/>
          <w:szCs w:val="24"/>
          <w:lang w:eastAsia="zh-TW"/>
        </w:rPr>
        <w:t>)</w:t>
      </w:r>
      <w:r w:rsidRPr="00323169">
        <w:rPr>
          <w:rFonts w:ascii="宋体" w:eastAsia="PMingLiU" w:hAnsi="宋体" w:cs="宋体" w:hint="eastAsia"/>
          <w:color w:val="000000"/>
          <w:kern w:val="0"/>
          <w:sz w:val="24"/>
          <w:szCs w:val="24"/>
          <w:lang w:eastAsia="zh-TW"/>
        </w:rPr>
        <w:t>市金融監管局會同相關部門做好份額轉讓試點工作的指導、監管和協調工作。各部門建立定期溝通機制，指導和監督北京股權交易中心依法合規開展份額轉讓試點。各部門可依照本意見確定的原則，結合各自實際，研究制定本行業或領域基金份額轉讓業務操作規則。國家和我市對基金份額轉讓另有規定的，從其規定。</w:t>
      </w:r>
    </w:p>
    <w:p w14:paraId="1FD46FF0" w14:textId="77777777" w:rsidR="00217914" w:rsidRDefault="00217914"/>
    <w:sectPr w:rsidR="002179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69"/>
    <w:rsid w:val="00217914"/>
    <w:rsid w:val="0032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F11F"/>
  <w15:chartTrackingRefBased/>
  <w15:docId w15:val="{5DD7298A-F222-4F66-BE2D-63D1A862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1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82242">
      <w:bodyDiv w:val="1"/>
      <w:marLeft w:val="0"/>
      <w:marRight w:val="0"/>
      <w:marTop w:val="0"/>
      <w:marBottom w:val="0"/>
      <w:divBdr>
        <w:top w:val="none" w:sz="0" w:space="0" w:color="auto"/>
        <w:left w:val="none" w:sz="0" w:space="0" w:color="auto"/>
        <w:bottom w:val="none" w:sz="0" w:space="0" w:color="auto"/>
        <w:right w:val="none" w:sz="0" w:space="0" w:color="auto"/>
      </w:divBdr>
      <w:divsChild>
        <w:div w:id="907225679">
          <w:marLeft w:val="0"/>
          <w:marRight w:val="0"/>
          <w:marTop w:val="0"/>
          <w:marBottom w:val="0"/>
          <w:divBdr>
            <w:top w:val="none" w:sz="0" w:space="0" w:color="auto"/>
            <w:left w:val="none" w:sz="0" w:space="0" w:color="auto"/>
            <w:bottom w:val="none" w:sz="0" w:space="0" w:color="auto"/>
            <w:right w:val="none" w:sz="0" w:space="0" w:color="auto"/>
          </w:divBdr>
          <w:divsChild>
            <w:div w:id="1520701663">
              <w:marLeft w:val="0"/>
              <w:marRight w:val="0"/>
              <w:marTop w:val="0"/>
              <w:marBottom w:val="0"/>
              <w:divBdr>
                <w:top w:val="none" w:sz="0" w:space="0" w:color="auto"/>
                <w:left w:val="none" w:sz="0" w:space="0" w:color="auto"/>
                <w:bottom w:val="none" w:sz="0" w:space="0" w:color="auto"/>
                <w:right w:val="none" w:sz="0" w:space="0" w:color="auto"/>
              </w:divBdr>
            </w:div>
          </w:divsChild>
        </w:div>
        <w:div w:id="509637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2</cp:revision>
  <dcterms:created xsi:type="dcterms:W3CDTF">2022-09-11T15:23:00Z</dcterms:created>
  <dcterms:modified xsi:type="dcterms:W3CDTF">2022-09-11T15:26:00Z</dcterms:modified>
</cp:coreProperties>
</file>