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3FD0" w:rsidRPr="00D23FD0" w:rsidRDefault="00D23FD0" w:rsidP="00D23FD0">
      <w:pPr>
        <w:spacing w:afterLines="50" w:after="156" w:line="360" w:lineRule="auto"/>
        <w:jc w:val="center"/>
        <w:rPr>
          <w:rFonts w:ascii="宋体" w:eastAsia="宋体" w:hAnsi="宋体"/>
          <w:b/>
          <w:bCs/>
          <w:sz w:val="24"/>
          <w:szCs w:val="24"/>
        </w:rPr>
      </w:pPr>
      <w:r w:rsidRPr="00D23FD0">
        <w:rPr>
          <w:rFonts w:ascii="宋体" w:eastAsia="PMingLiU" w:hAnsi="宋体" w:hint="eastAsia"/>
          <w:b/>
          <w:bCs/>
          <w:sz w:val="24"/>
          <w:szCs w:val="24"/>
          <w:lang w:eastAsia="zh-TW"/>
        </w:rPr>
        <w:t>關于推進北京全球財富管理中心建設的意見</w:t>
      </w:r>
    </w:p>
    <w:p w:rsidR="00D23FD0" w:rsidRPr="00D23FD0" w:rsidRDefault="00D23FD0" w:rsidP="00D23FD0">
      <w:pPr>
        <w:spacing w:afterLines="50" w:after="156" w:line="360" w:lineRule="auto"/>
        <w:rPr>
          <w:rFonts w:ascii="宋体" w:eastAsia="宋体" w:hAnsi="宋体"/>
          <w:sz w:val="24"/>
          <w:szCs w:val="24"/>
        </w:rPr>
      </w:pPr>
      <w:r w:rsidRPr="00D23FD0">
        <w:rPr>
          <w:rFonts w:ascii="宋体" w:eastAsia="PMingLiU" w:hAnsi="宋体" w:hint="eastAsia"/>
          <w:sz w:val="24"/>
          <w:szCs w:val="24"/>
          <w:lang w:eastAsia="zh-TW"/>
        </w:rPr>
        <w:t>爲貫徹落實黨中央、國務院關于建立中國</w:t>
      </w:r>
      <w:r w:rsidRPr="00D23FD0">
        <w:rPr>
          <w:rFonts w:ascii="宋体" w:eastAsia="PMingLiU" w:hAnsi="宋体"/>
          <w:sz w:val="24"/>
          <w:szCs w:val="24"/>
          <w:lang w:eastAsia="zh-TW"/>
        </w:rPr>
        <w:t>(</w:t>
      </w:r>
      <w:r w:rsidRPr="00D23FD0">
        <w:rPr>
          <w:rFonts w:ascii="宋体" w:eastAsia="PMingLiU" w:hAnsi="宋体" w:hint="eastAsia"/>
          <w:sz w:val="24"/>
          <w:szCs w:val="24"/>
          <w:lang w:eastAsia="zh-TW"/>
        </w:rPr>
        <w:t>北京</w:t>
      </w:r>
      <w:r w:rsidRPr="00D23FD0">
        <w:rPr>
          <w:rFonts w:ascii="宋体" w:eastAsia="PMingLiU" w:hAnsi="宋体"/>
          <w:sz w:val="24"/>
          <w:szCs w:val="24"/>
          <w:lang w:eastAsia="zh-TW"/>
        </w:rPr>
        <w:t>)</w:t>
      </w:r>
      <w:r w:rsidRPr="00D23FD0">
        <w:rPr>
          <w:rFonts w:ascii="宋体" w:eastAsia="PMingLiU" w:hAnsi="宋体" w:hint="eastAsia"/>
          <w:sz w:val="24"/>
          <w:szCs w:val="24"/>
          <w:lang w:eastAsia="zh-TW"/>
        </w:rPr>
        <w:t>自由貿易試驗區重大戰略决策，推動更高水平金融開放合作，支持北京城市副中心（以下簡稱城市副中心）高質量發展，提出如下意見。</w:t>
      </w:r>
    </w:p>
    <w:p w:rsidR="00D23FD0" w:rsidRPr="00D23FD0" w:rsidRDefault="00D23FD0" w:rsidP="00D23FD0">
      <w:pPr>
        <w:spacing w:afterLines="50" w:after="156" w:line="360" w:lineRule="auto"/>
        <w:rPr>
          <w:rFonts w:ascii="宋体" w:eastAsia="宋体" w:hAnsi="宋体"/>
          <w:sz w:val="24"/>
          <w:szCs w:val="24"/>
        </w:rPr>
      </w:pPr>
      <w:r w:rsidRPr="00D23FD0">
        <w:rPr>
          <w:rFonts w:ascii="宋体" w:eastAsia="PMingLiU" w:hAnsi="宋体" w:hint="eastAsia"/>
          <w:sz w:val="24"/>
          <w:szCs w:val="24"/>
          <w:lang w:eastAsia="zh-TW"/>
        </w:rPr>
        <w:t>一、指導思想</w:t>
      </w:r>
    </w:p>
    <w:p w:rsidR="00D23FD0" w:rsidRPr="00D23FD0" w:rsidRDefault="00D23FD0" w:rsidP="00D23FD0">
      <w:pPr>
        <w:spacing w:afterLines="50" w:after="156" w:line="360" w:lineRule="auto"/>
        <w:rPr>
          <w:rFonts w:ascii="宋体" w:eastAsia="宋体" w:hAnsi="宋体"/>
          <w:sz w:val="24"/>
          <w:szCs w:val="24"/>
        </w:rPr>
      </w:pPr>
      <w:r w:rsidRPr="00D23FD0">
        <w:rPr>
          <w:rFonts w:ascii="宋体" w:eastAsia="PMingLiU" w:hAnsi="宋体" w:hint="eastAsia"/>
          <w:sz w:val="24"/>
          <w:szCs w:val="24"/>
          <w:lang w:eastAsia="zh-TW"/>
        </w:rPr>
        <w:t>以習近平新時代中國特色社會主義思想爲指導，深入貫徹落實黨的十九大和十九届歷次全會精神，服務國家金融管理中心建設，促進財富管理、資産管理行業規範有序健康發展，更好服務實體經濟發展需要和居民日益增長的資産配置需求，提升在京金融機構全球資源配置能力，打造具有國際競爭力的全球財富管理中心。</w:t>
      </w:r>
    </w:p>
    <w:p w:rsidR="00D23FD0" w:rsidRPr="00D23FD0" w:rsidRDefault="00D23FD0" w:rsidP="00D23FD0">
      <w:pPr>
        <w:spacing w:afterLines="50" w:after="156" w:line="360" w:lineRule="auto"/>
        <w:rPr>
          <w:rFonts w:ascii="宋体" w:eastAsia="宋体" w:hAnsi="宋体"/>
          <w:sz w:val="24"/>
          <w:szCs w:val="24"/>
        </w:rPr>
      </w:pPr>
      <w:r w:rsidRPr="00D23FD0">
        <w:rPr>
          <w:rFonts w:ascii="宋体" w:eastAsia="PMingLiU" w:hAnsi="宋体" w:hint="eastAsia"/>
          <w:sz w:val="24"/>
          <w:szCs w:val="24"/>
          <w:lang w:eastAsia="zh-TW"/>
        </w:rPr>
        <w:t>二、發展目標</w:t>
      </w:r>
    </w:p>
    <w:p w:rsidR="00D23FD0" w:rsidRPr="00D23FD0" w:rsidRDefault="00D23FD0" w:rsidP="00D23FD0">
      <w:pPr>
        <w:spacing w:afterLines="50" w:after="156" w:line="360" w:lineRule="auto"/>
        <w:rPr>
          <w:rFonts w:ascii="宋体" w:eastAsia="宋体" w:hAnsi="宋体"/>
          <w:sz w:val="24"/>
          <w:szCs w:val="24"/>
          <w:lang w:eastAsia="zh-TW"/>
        </w:rPr>
      </w:pPr>
      <w:r w:rsidRPr="00D23FD0">
        <w:rPr>
          <w:rFonts w:ascii="宋体" w:eastAsia="PMingLiU" w:hAnsi="宋体" w:hint="eastAsia"/>
          <w:sz w:val="24"/>
          <w:szCs w:val="24"/>
          <w:lang w:eastAsia="zh-TW"/>
        </w:rPr>
        <w:t>到</w:t>
      </w:r>
      <w:r w:rsidRPr="00D23FD0">
        <w:rPr>
          <w:rFonts w:ascii="宋体" w:eastAsia="PMingLiU" w:hAnsi="宋体"/>
          <w:sz w:val="24"/>
          <w:szCs w:val="24"/>
          <w:lang w:eastAsia="zh-TW"/>
        </w:rPr>
        <w:t>2023</w:t>
      </w:r>
      <w:r w:rsidRPr="00D23FD0">
        <w:rPr>
          <w:rFonts w:ascii="宋体" w:eastAsia="PMingLiU" w:hAnsi="宋体" w:hint="eastAsia"/>
          <w:sz w:val="24"/>
          <w:szCs w:val="24"/>
          <w:lang w:eastAsia="zh-TW"/>
        </w:rPr>
        <w:t>年，培育一批優質財富管理機構和人才，財富管理産品類型不斷豐富，財富管理服務能力持續優化，財富管理發展水平顯著提升。到</w:t>
      </w:r>
      <w:r w:rsidRPr="00D23FD0">
        <w:rPr>
          <w:rFonts w:ascii="宋体" w:eastAsia="PMingLiU" w:hAnsi="宋体"/>
          <w:sz w:val="24"/>
          <w:szCs w:val="24"/>
          <w:lang w:eastAsia="zh-TW"/>
        </w:rPr>
        <w:t>2025</w:t>
      </w:r>
      <w:r w:rsidRPr="00D23FD0">
        <w:rPr>
          <w:rFonts w:ascii="宋体" w:eastAsia="PMingLiU" w:hAnsi="宋体" w:hint="eastAsia"/>
          <w:sz w:val="24"/>
          <w:szCs w:val="24"/>
          <w:lang w:eastAsia="zh-TW"/>
        </w:rPr>
        <w:t>年，基本建成財富管理法治體系健全、市場規範有序、國際影響力較大的全球財富管理中心。</w:t>
      </w:r>
    </w:p>
    <w:p w:rsidR="00D23FD0" w:rsidRPr="00D23FD0" w:rsidRDefault="00D23FD0" w:rsidP="00D23FD0">
      <w:pPr>
        <w:spacing w:afterLines="50" w:after="156" w:line="360" w:lineRule="auto"/>
        <w:rPr>
          <w:rFonts w:ascii="宋体" w:eastAsia="宋体" w:hAnsi="宋体"/>
          <w:sz w:val="24"/>
          <w:szCs w:val="24"/>
        </w:rPr>
      </w:pPr>
      <w:r w:rsidRPr="00D23FD0">
        <w:rPr>
          <w:rFonts w:ascii="宋体" w:eastAsia="PMingLiU" w:hAnsi="宋体" w:hint="eastAsia"/>
          <w:sz w:val="24"/>
          <w:szCs w:val="24"/>
          <w:lang w:eastAsia="zh-TW"/>
        </w:rPr>
        <w:t>三、基本原則</w:t>
      </w:r>
    </w:p>
    <w:p w:rsidR="00D23FD0" w:rsidRPr="00D23FD0" w:rsidRDefault="00D23FD0" w:rsidP="00D23FD0">
      <w:pPr>
        <w:spacing w:afterLines="50" w:after="156" w:line="360" w:lineRule="auto"/>
        <w:rPr>
          <w:rFonts w:ascii="宋体" w:eastAsia="宋体" w:hAnsi="宋体"/>
          <w:sz w:val="24"/>
          <w:szCs w:val="24"/>
          <w:lang w:eastAsia="zh-TW"/>
        </w:rPr>
      </w:pPr>
      <w:r w:rsidRPr="00D23FD0">
        <w:rPr>
          <w:rFonts w:ascii="宋体" w:eastAsia="PMingLiU" w:hAnsi="宋体" w:hint="eastAsia"/>
          <w:sz w:val="24"/>
          <w:szCs w:val="24"/>
          <w:lang w:eastAsia="zh-TW"/>
        </w:rPr>
        <w:t>堅持首都定位，發揮示範引領。緊緊圍繞國家金融管理中心功能，推動財富管理行業創新發展，更好發揮示範引領作用。</w:t>
      </w:r>
    </w:p>
    <w:p w:rsidR="00D23FD0" w:rsidRPr="00D23FD0" w:rsidRDefault="00D23FD0" w:rsidP="00D23FD0">
      <w:pPr>
        <w:spacing w:afterLines="50" w:after="156" w:line="360" w:lineRule="auto"/>
        <w:rPr>
          <w:rFonts w:ascii="宋体" w:eastAsia="宋体" w:hAnsi="宋体"/>
          <w:sz w:val="24"/>
          <w:szCs w:val="24"/>
          <w:lang w:eastAsia="zh-TW"/>
        </w:rPr>
      </w:pPr>
      <w:r w:rsidRPr="00D23FD0">
        <w:rPr>
          <w:rFonts w:ascii="宋体" w:eastAsia="PMingLiU" w:hAnsi="宋体" w:hint="eastAsia"/>
          <w:sz w:val="24"/>
          <w:szCs w:val="24"/>
          <w:lang w:eastAsia="zh-TW"/>
        </w:rPr>
        <w:t>堅持對標國際，深化改革開放。充分學習借鑒國際財富管理中心先進制度安排，高起點謀劃、高標準建設北京全球財富管理中心，打造我國金融業改革開放的新高地。</w:t>
      </w:r>
    </w:p>
    <w:p w:rsidR="00D23FD0" w:rsidRPr="00D23FD0" w:rsidRDefault="00D23FD0" w:rsidP="00D23FD0">
      <w:pPr>
        <w:spacing w:afterLines="50" w:after="156" w:line="360" w:lineRule="auto"/>
        <w:rPr>
          <w:rFonts w:ascii="宋体" w:eastAsia="宋体" w:hAnsi="宋体"/>
          <w:sz w:val="24"/>
          <w:szCs w:val="24"/>
        </w:rPr>
      </w:pPr>
      <w:r w:rsidRPr="00D23FD0">
        <w:rPr>
          <w:rFonts w:ascii="宋体" w:eastAsia="PMingLiU" w:hAnsi="宋体" w:hint="eastAsia"/>
          <w:sz w:val="24"/>
          <w:szCs w:val="24"/>
          <w:lang w:eastAsia="zh-TW"/>
        </w:rPr>
        <w:t>堅持市場導向，優化營商環境。充分發揮市場在資源配置中的决定性作用，更好</w:t>
      </w:r>
      <w:r w:rsidRPr="00D23FD0">
        <w:rPr>
          <w:rFonts w:ascii="宋体" w:eastAsia="PMingLiU" w:hAnsi="宋体" w:hint="eastAsia"/>
          <w:sz w:val="24"/>
          <w:szCs w:val="24"/>
          <w:lang w:eastAsia="zh-TW"/>
        </w:rPr>
        <w:lastRenderedPageBreak/>
        <w:t>發揮政府作用，深化金融市場改革，健全市場化、專業化的運作模式和激勵約束機制，爲市場主體營造國際一流營商環境。</w:t>
      </w:r>
    </w:p>
    <w:p w:rsidR="00D23FD0" w:rsidRPr="00D23FD0" w:rsidRDefault="00D23FD0" w:rsidP="00D23FD0">
      <w:pPr>
        <w:spacing w:afterLines="50" w:after="156" w:line="360" w:lineRule="auto"/>
        <w:rPr>
          <w:rFonts w:ascii="宋体" w:eastAsia="宋体" w:hAnsi="宋体"/>
          <w:sz w:val="24"/>
          <w:szCs w:val="24"/>
          <w:lang w:eastAsia="zh-TW"/>
        </w:rPr>
      </w:pPr>
      <w:r w:rsidRPr="00D23FD0">
        <w:rPr>
          <w:rFonts w:ascii="宋体" w:eastAsia="PMingLiU" w:hAnsi="宋体" w:hint="eastAsia"/>
          <w:sz w:val="24"/>
          <w:szCs w:val="24"/>
          <w:lang w:eastAsia="zh-TW"/>
        </w:rPr>
        <w:t>堅持風險底綫，統籌發展與安全。在依法合規、風險可控前提下，穩妥有序推進金融創新。提高金融風險識別、計量、監測和控制能力，完善與金融創新相適應的風險防控體系，牢牢守住不發生系統性金融風險底綫。</w:t>
      </w:r>
    </w:p>
    <w:p w:rsidR="00D23FD0" w:rsidRPr="00D23FD0" w:rsidRDefault="00D23FD0" w:rsidP="00D23FD0">
      <w:pPr>
        <w:spacing w:afterLines="50" w:after="156" w:line="360" w:lineRule="auto"/>
        <w:rPr>
          <w:rFonts w:ascii="宋体" w:eastAsia="宋体" w:hAnsi="宋体"/>
          <w:sz w:val="24"/>
          <w:szCs w:val="24"/>
        </w:rPr>
      </w:pPr>
      <w:r w:rsidRPr="00D23FD0">
        <w:rPr>
          <w:rFonts w:ascii="宋体" w:eastAsia="PMingLiU" w:hAnsi="宋体" w:hint="eastAsia"/>
          <w:sz w:val="24"/>
          <w:szCs w:val="24"/>
          <w:lang w:eastAsia="zh-TW"/>
        </w:rPr>
        <w:t>四、主要任務</w:t>
      </w:r>
    </w:p>
    <w:p w:rsidR="00D23FD0" w:rsidRPr="00D23FD0" w:rsidRDefault="00D23FD0" w:rsidP="00D23FD0">
      <w:pPr>
        <w:spacing w:afterLines="50" w:after="156" w:line="360" w:lineRule="auto"/>
        <w:rPr>
          <w:rFonts w:ascii="宋体" w:eastAsia="宋体" w:hAnsi="宋体"/>
          <w:sz w:val="24"/>
          <w:szCs w:val="24"/>
        </w:rPr>
      </w:pPr>
      <w:r w:rsidRPr="00D23FD0">
        <w:rPr>
          <w:rFonts w:ascii="宋体" w:eastAsia="PMingLiU" w:hAnsi="宋体" w:hint="eastAsia"/>
          <w:sz w:val="24"/>
          <w:szCs w:val="24"/>
          <w:lang w:eastAsia="zh-TW"/>
        </w:rPr>
        <w:t>（一）健全財富管理機構體系，打造完善的財富管理發展生態</w:t>
      </w:r>
    </w:p>
    <w:p w:rsidR="00D23FD0" w:rsidRPr="00D23FD0" w:rsidRDefault="00D23FD0" w:rsidP="00D23FD0">
      <w:pPr>
        <w:spacing w:afterLines="50" w:after="156" w:line="360" w:lineRule="auto"/>
        <w:rPr>
          <w:rFonts w:ascii="宋体" w:eastAsia="宋体" w:hAnsi="宋体"/>
          <w:sz w:val="24"/>
          <w:szCs w:val="24"/>
          <w:lang w:eastAsia="zh-TW"/>
        </w:rPr>
      </w:pPr>
      <w:r w:rsidRPr="00D23FD0">
        <w:rPr>
          <w:rFonts w:ascii="宋体" w:eastAsia="PMingLiU" w:hAnsi="宋体"/>
          <w:sz w:val="24"/>
          <w:szCs w:val="24"/>
          <w:lang w:eastAsia="zh-TW"/>
        </w:rPr>
        <w:t>1.</w:t>
      </w:r>
      <w:r w:rsidRPr="00D23FD0">
        <w:rPr>
          <w:rFonts w:ascii="宋体" w:eastAsia="PMingLiU" w:hAnsi="宋体" w:hint="eastAsia"/>
          <w:sz w:val="24"/>
          <w:szCs w:val="24"/>
          <w:lang w:eastAsia="zh-TW"/>
        </w:rPr>
        <w:t>促進優質合規財富管理機構發展。支持公募基金管理公司、銀行理財公司、保險資産管理公司、證券資産管理公司、信托公司、基金子公司、養老金管理公司等資産管理機構在京創新發展。支持符合條件的外資機構通過獨資、合資等形式依法依規在京開展證券、基金、理財、養老金管理、保險資産管理等業務。</w:t>
      </w:r>
    </w:p>
    <w:p w:rsidR="00D23FD0" w:rsidRPr="00D23FD0" w:rsidRDefault="00D23FD0" w:rsidP="00D23FD0">
      <w:pPr>
        <w:spacing w:afterLines="50" w:after="156" w:line="360" w:lineRule="auto"/>
        <w:rPr>
          <w:rFonts w:ascii="宋体" w:eastAsia="宋体" w:hAnsi="宋体"/>
          <w:sz w:val="24"/>
          <w:szCs w:val="24"/>
          <w:lang w:eastAsia="zh-TW"/>
        </w:rPr>
      </w:pPr>
      <w:r w:rsidRPr="00D23FD0">
        <w:rPr>
          <w:rFonts w:ascii="宋体" w:eastAsia="PMingLiU" w:hAnsi="宋体"/>
          <w:sz w:val="24"/>
          <w:szCs w:val="24"/>
          <w:lang w:eastAsia="zh-TW"/>
        </w:rPr>
        <w:t>2.</w:t>
      </w:r>
      <w:r w:rsidRPr="00D23FD0">
        <w:rPr>
          <w:rFonts w:ascii="宋体" w:eastAsia="PMingLiU" w:hAnsi="宋体" w:hint="eastAsia"/>
          <w:sz w:val="24"/>
          <w:szCs w:val="24"/>
          <w:lang w:eastAsia="zh-TW"/>
        </w:rPr>
        <w:t>發展財富管理專業服務。支持征信、信用評級、資産評估、會計、審計、法律、諮詢、財務顧問、財經資訊、金融信息、人力資源等專業服務機構充分發揮作用，不斷提升服務水平。支持專業機構發展財富管理、資産管理數據服務，提供專業教育、人才培訓和智庫等服務。</w:t>
      </w:r>
    </w:p>
    <w:p w:rsidR="00D23FD0" w:rsidRPr="00D23FD0" w:rsidRDefault="00D23FD0" w:rsidP="00D23FD0">
      <w:pPr>
        <w:spacing w:afterLines="50" w:after="156" w:line="360" w:lineRule="auto"/>
        <w:rPr>
          <w:rFonts w:ascii="宋体" w:eastAsia="宋体" w:hAnsi="宋体"/>
          <w:sz w:val="24"/>
          <w:szCs w:val="24"/>
          <w:lang w:eastAsia="zh-TW"/>
        </w:rPr>
      </w:pPr>
      <w:r w:rsidRPr="00D23FD0">
        <w:rPr>
          <w:rFonts w:ascii="宋体" w:eastAsia="PMingLiU" w:hAnsi="宋体"/>
          <w:sz w:val="24"/>
          <w:szCs w:val="24"/>
          <w:lang w:eastAsia="zh-TW"/>
        </w:rPr>
        <w:t>3.</w:t>
      </w:r>
      <w:r w:rsidRPr="00D23FD0">
        <w:rPr>
          <w:rFonts w:ascii="宋体" w:eastAsia="PMingLiU" w:hAnsi="宋体" w:hint="eastAsia"/>
          <w:sz w:val="24"/>
          <w:szCs w:val="24"/>
          <w:lang w:eastAsia="zh-TW"/>
        </w:rPr>
        <w:t>拓展應用金融科技。大力支持傳統金融業務數字化轉型，支持金融科技研發投入、場景創設、産品投放和應用推廣。鼓勵財富管理機構依托人工智能、大數據、雲計算、區塊鏈等技術，拓寬財富管理服務對象範圍，拓展服務廣度和深度，提高財富管理、資産管理多元化配置水平。積極促進區塊鏈等新技術在資産登記、跨境支付等領域合規運用。</w:t>
      </w:r>
    </w:p>
    <w:p w:rsidR="00D23FD0" w:rsidRPr="00D23FD0" w:rsidRDefault="00D23FD0" w:rsidP="00D23FD0">
      <w:pPr>
        <w:spacing w:afterLines="50" w:after="156" w:line="360" w:lineRule="auto"/>
        <w:rPr>
          <w:rFonts w:ascii="宋体" w:eastAsia="宋体" w:hAnsi="宋体"/>
          <w:sz w:val="24"/>
          <w:szCs w:val="24"/>
        </w:rPr>
      </w:pPr>
      <w:r w:rsidRPr="00D23FD0">
        <w:rPr>
          <w:rFonts w:ascii="宋体" w:eastAsia="PMingLiU" w:hAnsi="宋体" w:hint="eastAsia"/>
          <w:sz w:val="24"/>
          <w:szCs w:val="24"/>
          <w:lang w:eastAsia="zh-TW"/>
        </w:rPr>
        <w:lastRenderedPageBreak/>
        <w:t>（二）創新財富管理産品和服務，打造活躍的財富管理市場</w:t>
      </w:r>
    </w:p>
    <w:p w:rsidR="00D23FD0" w:rsidRPr="00D23FD0" w:rsidRDefault="00D23FD0" w:rsidP="00D23FD0">
      <w:pPr>
        <w:spacing w:afterLines="50" w:after="156" w:line="360" w:lineRule="auto"/>
        <w:rPr>
          <w:rFonts w:ascii="宋体" w:eastAsia="宋体" w:hAnsi="宋体"/>
          <w:sz w:val="24"/>
          <w:szCs w:val="24"/>
          <w:lang w:eastAsia="zh-TW"/>
        </w:rPr>
      </w:pPr>
      <w:r w:rsidRPr="00D23FD0">
        <w:rPr>
          <w:rFonts w:ascii="宋体" w:eastAsia="PMingLiU" w:hAnsi="宋体"/>
          <w:sz w:val="24"/>
          <w:szCs w:val="24"/>
          <w:lang w:eastAsia="zh-TW"/>
        </w:rPr>
        <w:t>4.</w:t>
      </w:r>
      <w:r w:rsidRPr="00D23FD0">
        <w:rPr>
          <w:rFonts w:ascii="宋体" w:eastAsia="PMingLiU" w:hAnsi="宋体" w:hint="eastAsia"/>
          <w:sz w:val="24"/>
          <w:szCs w:val="24"/>
          <w:lang w:eastAsia="zh-TW"/>
        </w:rPr>
        <w:t>豐富財富管理工具。鼓勵財富管理機構按照風險承受能力建立專業化客戶分層管理體系，爲服務對象提供全方位的財富管理方案和多元化的財富管理渠道。研究建立銀行、保險、基金、信托、資産管理等領域的綜合性財富管理服務平臺。發展慈善信托，支持信托公司提高慈善信托財産投資管理能力，豐富慈善信托形式和工具。</w:t>
      </w:r>
    </w:p>
    <w:p w:rsidR="00D23FD0" w:rsidRPr="00D23FD0" w:rsidRDefault="00D23FD0" w:rsidP="00D23FD0">
      <w:pPr>
        <w:spacing w:afterLines="50" w:after="156" w:line="360" w:lineRule="auto"/>
        <w:rPr>
          <w:rFonts w:ascii="宋体" w:eastAsia="宋体" w:hAnsi="宋体"/>
          <w:sz w:val="24"/>
          <w:szCs w:val="24"/>
          <w:lang w:eastAsia="zh-TW"/>
        </w:rPr>
      </w:pPr>
      <w:r w:rsidRPr="00D23FD0">
        <w:rPr>
          <w:rFonts w:ascii="宋体" w:eastAsia="PMingLiU" w:hAnsi="宋体"/>
          <w:sz w:val="24"/>
          <w:szCs w:val="24"/>
          <w:lang w:eastAsia="zh-TW"/>
        </w:rPr>
        <w:t>5.</w:t>
      </w:r>
      <w:r w:rsidRPr="00D23FD0">
        <w:rPr>
          <w:rFonts w:ascii="宋体" w:eastAsia="PMingLiU" w:hAnsi="宋体" w:hint="eastAsia"/>
          <w:sz w:val="24"/>
          <w:szCs w:val="24"/>
          <w:lang w:eastAsia="zh-TW"/>
        </w:rPr>
        <w:t>創新資産管理産品。支持公募基金管理公司、銀行理財公司、保險資産管理公司、證券資産管理公司、信托公司、基金子公司、養老金管理公司等資産管理機構受托管理保險等長期資金，創新資産管理品種，支持長期投資。支持在京信托機構開展科技信托、綠色信托、養老信托、保險金信托等創新業務。支持優質公募</w:t>
      </w:r>
      <w:r w:rsidRPr="00D23FD0">
        <w:rPr>
          <w:rFonts w:ascii="宋体" w:eastAsia="PMingLiU" w:hAnsi="宋体"/>
          <w:sz w:val="24"/>
          <w:szCs w:val="24"/>
          <w:lang w:eastAsia="zh-TW"/>
        </w:rPr>
        <w:t>REITs</w:t>
      </w:r>
      <w:r w:rsidRPr="00D23FD0">
        <w:rPr>
          <w:rFonts w:ascii="宋体" w:eastAsia="PMingLiU" w:hAnsi="宋体" w:hint="eastAsia"/>
          <w:sz w:val="24"/>
          <w:szCs w:val="24"/>
          <w:lang w:eastAsia="zh-TW"/>
        </w:rPr>
        <w:t>基金管理人在京發展和管理人中管理人（</w:t>
      </w:r>
      <w:r w:rsidRPr="00D23FD0">
        <w:rPr>
          <w:rFonts w:ascii="宋体" w:eastAsia="PMingLiU" w:hAnsi="宋体"/>
          <w:sz w:val="24"/>
          <w:szCs w:val="24"/>
          <w:lang w:eastAsia="zh-TW"/>
        </w:rPr>
        <w:t>MOM</w:t>
      </w:r>
      <w:r w:rsidRPr="00D23FD0">
        <w:rPr>
          <w:rFonts w:ascii="宋体" w:eastAsia="PMingLiU" w:hAnsi="宋体" w:hint="eastAsia"/>
          <w:sz w:val="24"/>
          <w:szCs w:val="24"/>
          <w:lang w:eastAsia="zh-TW"/>
        </w:rPr>
        <w:t>）、基金中基金（</w:t>
      </w:r>
      <w:r w:rsidRPr="00D23FD0">
        <w:rPr>
          <w:rFonts w:ascii="宋体" w:eastAsia="PMingLiU" w:hAnsi="宋体"/>
          <w:sz w:val="24"/>
          <w:szCs w:val="24"/>
          <w:lang w:eastAsia="zh-TW"/>
        </w:rPr>
        <w:t>FOF</w:t>
      </w:r>
      <w:r w:rsidRPr="00D23FD0">
        <w:rPr>
          <w:rFonts w:ascii="宋体" w:eastAsia="PMingLiU" w:hAnsi="宋体" w:hint="eastAsia"/>
          <w:sz w:val="24"/>
          <w:szCs w:val="24"/>
          <w:lang w:eastAsia="zh-TW"/>
        </w:rPr>
        <w:t>）等産品研發。支持符合條件的證券公司、基金管理公司、基金銷售機構等申請開展公開募集證券投資基金投資顧問業務試點。</w:t>
      </w:r>
    </w:p>
    <w:p w:rsidR="00D23FD0" w:rsidRPr="00D23FD0" w:rsidRDefault="00D23FD0" w:rsidP="00D23FD0">
      <w:pPr>
        <w:spacing w:afterLines="50" w:after="156" w:line="360" w:lineRule="auto"/>
        <w:rPr>
          <w:rFonts w:ascii="宋体" w:eastAsia="宋体" w:hAnsi="宋体"/>
          <w:sz w:val="24"/>
          <w:szCs w:val="24"/>
        </w:rPr>
      </w:pPr>
      <w:r w:rsidRPr="00D23FD0">
        <w:rPr>
          <w:rFonts w:ascii="宋体" w:eastAsia="PMingLiU" w:hAnsi="宋体"/>
          <w:sz w:val="24"/>
          <w:szCs w:val="24"/>
          <w:lang w:eastAsia="zh-TW"/>
        </w:rPr>
        <w:t>6.</w:t>
      </w:r>
      <w:r w:rsidRPr="00D23FD0">
        <w:rPr>
          <w:rFonts w:ascii="宋体" w:eastAsia="PMingLiU" w:hAnsi="宋体" w:hint="eastAsia"/>
          <w:sz w:val="24"/>
          <w:szCs w:val="24"/>
          <w:lang w:eastAsia="zh-TW"/>
        </w:rPr>
        <w:t>擴大綠色領域投資。建設全國自願减排等碳交易中心，爲各類綠色資産交易提供定價、評估等服務。探索建設全國綠色項目庫和面向</w:t>
      </w:r>
      <w:r w:rsidRPr="00D23FD0">
        <w:rPr>
          <w:rFonts w:ascii="宋体" w:eastAsia="PMingLiU" w:hAnsi="宋体"/>
          <w:sz w:val="24"/>
          <w:szCs w:val="24"/>
          <w:lang w:eastAsia="zh-TW"/>
        </w:rPr>
        <w:t>“</w:t>
      </w:r>
      <w:r w:rsidRPr="00D23FD0">
        <w:rPr>
          <w:rFonts w:ascii="宋体" w:eastAsia="PMingLiU" w:hAnsi="宋体" w:hint="eastAsia"/>
          <w:sz w:val="24"/>
          <w:szCs w:val="24"/>
          <w:lang w:eastAsia="zh-TW"/>
        </w:rPr>
        <w:t>一帶一路</w:t>
      </w:r>
      <w:r w:rsidRPr="00D23FD0">
        <w:rPr>
          <w:rFonts w:ascii="宋体" w:eastAsia="PMingLiU" w:hAnsi="宋体"/>
          <w:sz w:val="24"/>
          <w:szCs w:val="24"/>
          <w:lang w:eastAsia="zh-TW"/>
        </w:rPr>
        <w:t>”</w:t>
      </w:r>
      <w:r w:rsidRPr="00D23FD0">
        <w:rPr>
          <w:rFonts w:ascii="宋体" w:eastAsia="PMingLiU" w:hAnsi="宋体" w:hint="eastAsia"/>
          <w:sz w:val="24"/>
          <w:szCs w:val="24"/>
          <w:lang w:eastAsia="zh-TW"/>
        </w:rPr>
        <w:t>的國際綠色項目庫，完善市場化綠色投融資增信機制。支持環境、社會和治理（</w:t>
      </w:r>
      <w:r w:rsidRPr="00D23FD0">
        <w:rPr>
          <w:rFonts w:ascii="宋体" w:eastAsia="PMingLiU" w:hAnsi="宋体"/>
          <w:sz w:val="24"/>
          <w:szCs w:val="24"/>
          <w:lang w:eastAsia="zh-TW"/>
        </w:rPr>
        <w:t>ESG</w:t>
      </w:r>
      <w:r w:rsidRPr="00D23FD0">
        <w:rPr>
          <w:rFonts w:ascii="宋体" w:eastAsia="PMingLiU" w:hAnsi="宋体" w:hint="eastAsia"/>
          <w:sz w:val="24"/>
          <w:szCs w:val="24"/>
          <w:lang w:eastAsia="zh-TW"/>
        </w:rPr>
        <w:t>）第三方評價服務機構在京發展。積極推動金融機構在城市副中心依法設立綠色金融專門機構，加快設立國際綠色投資集團。鼓勵金融機構、上市公司開展</w:t>
      </w:r>
      <w:r w:rsidRPr="00D23FD0">
        <w:rPr>
          <w:rFonts w:ascii="宋体" w:eastAsia="PMingLiU" w:hAnsi="宋体"/>
          <w:sz w:val="24"/>
          <w:szCs w:val="24"/>
          <w:lang w:eastAsia="zh-TW"/>
        </w:rPr>
        <w:t>ESG</w:t>
      </w:r>
      <w:r w:rsidRPr="00D23FD0">
        <w:rPr>
          <w:rFonts w:ascii="宋体" w:eastAsia="PMingLiU" w:hAnsi="宋体" w:hint="eastAsia"/>
          <w:sz w:val="24"/>
          <w:szCs w:val="24"/>
          <w:lang w:eastAsia="zh-TW"/>
        </w:rPr>
        <w:t>信息披露，加强</w:t>
      </w:r>
      <w:r w:rsidRPr="00D23FD0">
        <w:rPr>
          <w:rFonts w:ascii="宋体" w:eastAsia="PMingLiU" w:hAnsi="宋体"/>
          <w:sz w:val="24"/>
          <w:szCs w:val="24"/>
          <w:lang w:eastAsia="zh-TW"/>
        </w:rPr>
        <w:t>ESG</w:t>
      </w:r>
      <w:r w:rsidRPr="00D23FD0">
        <w:rPr>
          <w:rFonts w:ascii="宋体" w:eastAsia="PMingLiU" w:hAnsi="宋体" w:hint="eastAsia"/>
          <w:sz w:val="24"/>
          <w:szCs w:val="24"/>
          <w:lang w:eastAsia="zh-TW"/>
        </w:rPr>
        <w:t>産品研發，支持專業機構研究推出</w:t>
      </w:r>
      <w:r w:rsidRPr="00D23FD0">
        <w:rPr>
          <w:rFonts w:ascii="宋体" w:eastAsia="PMingLiU" w:hAnsi="宋体"/>
          <w:sz w:val="24"/>
          <w:szCs w:val="24"/>
          <w:lang w:eastAsia="zh-TW"/>
        </w:rPr>
        <w:t>ESG</w:t>
      </w:r>
      <w:r w:rsidRPr="00D23FD0">
        <w:rPr>
          <w:rFonts w:ascii="宋体" w:eastAsia="PMingLiU" w:hAnsi="宋体" w:hint="eastAsia"/>
          <w:sz w:val="24"/>
          <w:szCs w:val="24"/>
          <w:lang w:eastAsia="zh-TW"/>
        </w:rPr>
        <w:t>有關指數，幷推動發揮增信作用。</w:t>
      </w:r>
    </w:p>
    <w:p w:rsidR="00D23FD0" w:rsidRPr="00D23FD0" w:rsidRDefault="00D23FD0" w:rsidP="00D23FD0">
      <w:pPr>
        <w:spacing w:afterLines="50" w:after="156" w:line="360" w:lineRule="auto"/>
        <w:rPr>
          <w:rFonts w:ascii="宋体" w:eastAsia="宋体" w:hAnsi="宋体"/>
          <w:sz w:val="24"/>
          <w:szCs w:val="24"/>
        </w:rPr>
      </w:pPr>
      <w:r w:rsidRPr="00D23FD0">
        <w:rPr>
          <w:rFonts w:ascii="宋体" w:eastAsia="PMingLiU" w:hAnsi="宋体" w:hint="eastAsia"/>
          <w:sz w:val="24"/>
          <w:szCs w:val="24"/>
          <w:lang w:eastAsia="zh-TW"/>
        </w:rPr>
        <w:t>（三）强化金融基礎設施建設，打造多層次市場體系</w:t>
      </w:r>
    </w:p>
    <w:p w:rsidR="00D23FD0" w:rsidRPr="00D23FD0" w:rsidRDefault="00D23FD0" w:rsidP="00D23FD0">
      <w:pPr>
        <w:spacing w:afterLines="50" w:after="156" w:line="360" w:lineRule="auto"/>
        <w:rPr>
          <w:rFonts w:ascii="宋体" w:eastAsia="宋体" w:hAnsi="宋体"/>
          <w:sz w:val="24"/>
          <w:szCs w:val="24"/>
        </w:rPr>
      </w:pPr>
      <w:r w:rsidRPr="00D23FD0">
        <w:rPr>
          <w:rFonts w:ascii="宋体" w:eastAsia="PMingLiU" w:hAnsi="宋体"/>
          <w:sz w:val="24"/>
          <w:szCs w:val="24"/>
          <w:lang w:eastAsia="zh-TW"/>
        </w:rPr>
        <w:lastRenderedPageBreak/>
        <w:t>7.</w:t>
      </w:r>
      <w:r w:rsidRPr="00D23FD0">
        <w:rPr>
          <w:rFonts w:ascii="宋体" w:eastAsia="PMingLiU" w:hAnsi="宋体" w:hint="eastAsia"/>
          <w:sz w:val="24"/>
          <w:szCs w:val="24"/>
          <w:lang w:eastAsia="zh-TW"/>
        </w:rPr>
        <w:t>加强金融基礎設施建設。支持國家重要金融基礎設施在京發展，加大對國家金融基礎設施的服務保障力度。支持在京金融機構完善基礎設施布局，鞏固提升資産配置、市場引導、資源布局等功能，支撑首都金融應急能力體系建設，提升保障國家金融安全和社會公共安全的功能。</w:t>
      </w:r>
    </w:p>
    <w:p w:rsidR="00D23FD0" w:rsidRPr="00D23FD0" w:rsidRDefault="00D23FD0" w:rsidP="00D23FD0">
      <w:pPr>
        <w:spacing w:afterLines="50" w:after="156" w:line="360" w:lineRule="auto"/>
        <w:rPr>
          <w:rFonts w:ascii="宋体" w:eastAsia="宋体" w:hAnsi="宋体"/>
          <w:sz w:val="24"/>
          <w:szCs w:val="24"/>
          <w:lang w:eastAsia="zh-TW"/>
        </w:rPr>
      </w:pPr>
      <w:r w:rsidRPr="00D23FD0">
        <w:rPr>
          <w:rFonts w:ascii="宋体" w:eastAsia="PMingLiU" w:hAnsi="宋体"/>
          <w:sz w:val="24"/>
          <w:szCs w:val="24"/>
          <w:lang w:eastAsia="zh-TW"/>
        </w:rPr>
        <w:t>8.</w:t>
      </w:r>
      <w:r w:rsidRPr="00D23FD0">
        <w:rPr>
          <w:rFonts w:ascii="宋体" w:eastAsia="PMingLiU" w:hAnsi="宋体" w:hint="eastAsia"/>
          <w:sz w:val="24"/>
          <w:szCs w:val="24"/>
          <w:lang w:eastAsia="zh-TW"/>
        </w:rPr>
        <w:t>服務北京證券交易所發展。全面支持北京證券交易所發展，充分發揮服務創新型中小企業主陣地作用，促進形成支持創新型中小企業發展的金融生態體系。擴大新三板挂牌和北京證券交易所後備企業資源庫，儲備、培育本市一批高新技術企業挂牌新三板和申報北京證券交易所。加强與津冀及各省市溝通合作，推動全國符合條件的創新型中小企業到北京證券交易所上市。鼓勵市區政府投資基金支持北京證券交易所上市企業和新三板挂牌企業發展。推動公募基金管理公司、銀行理財公司、保險資産管理公司、證券資産管理公司、信托公司、基金子公司、養老金管理公司等資産管理機構發起設立可投資北京證券交易所上市公司股票的産品。</w:t>
      </w:r>
    </w:p>
    <w:p w:rsidR="00D23FD0" w:rsidRPr="00D23FD0" w:rsidRDefault="00D23FD0" w:rsidP="00D23FD0">
      <w:pPr>
        <w:spacing w:afterLines="50" w:after="156" w:line="360" w:lineRule="auto"/>
        <w:rPr>
          <w:rFonts w:ascii="宋体" w:eastAsia="宋体" w:hAnsi="宋体"/>
          <w:sz w:val="24"/>
          <w:szCs w:val="24"/>
        </w:rPr>
      </w:pPr>
      <w:r w:rsidRPr="00D23FD0">
        <w:rPr>
          <w:rFonts w:ascii="宋体" w:eastAsia="PMingLiU" w:hAnsi="宋体"/>
          <w:sz w:val="24"/>
          <w:szCs w:val="24"/>
          <w:lang w:eastAsia="zh-TW"/>
        </w:rPr>
        <w:t>9.</w:t>
      </w:r>
      <w:r w:rsidRPr="00D23FD0">
        <w:rPr>
          <w:rFonts w:ascii="宋体" w:eastAsia="PMingLiU" w:hAnsi="宋体" w:hint="eastAsia"/>
          <w:sz w:val="24"/>
          <w:szCs w:val="24"/>
          <w:lang w:eastAsia="zh-TW"/>
        </w:rPr>
        <w:t>暢通財富管理投資渠道。充分發揮北京股權交易中心的股權投資和創業投資份額轉讓平臺作用，爲二級市場基金（</w:t>
      </w:r>
      <w:r w:rsidRPr="00D23FD0">
        <w:rPr>
          <w:rFonts w:ascii="宋体" w:eastAsia="PMingLiU" w:hAnsi="宋体"/>
          <w:sz w:val="24"/>
          <w:szCs w:val="24"/>
          <w:lang w:eastAsia="zh-TW"/>
        </w:rPr>
        <w:t>S</w:t>
      </w:r>
      <w:r w:rsidRPr="00D23FD0">
        <w:rPr>
          <w:rFonts w:ascii="宋体" w:eastAsia="PMingLiU" w:hAnsi="宋体" w:hint="eastAsia"/>
          <w:sz w:val="24"/>
          <w:szCs w:val="24"/>
          <w:lang w:eastAsia="zh-TW"/>
        </w:rPr>
        <w:t>基金）、境內外私募基金和合格投資者提供優質投資標的。强化北京股權交易中心權益交易、登記托管、投資融資、幷購重組等功能，打造服務中小企業創業投資和股權投資</w:t>
      </w:r>
      <w:r w:rsidRPr="00D23FD0">
        <w:rPr>
          <w:rFonts w:ascii="宋体" w:eastAsia="PMingLiU" w:hAnsi="宋体"/>
          <w:sz w:val="24"/>
          <w:szCs w:val="24"/>
          <w:lang w:eastAsia="zh-TW"/>
        </w:rPr>
        <w:t>“</w:t>
      </w:r>
      <w:r w:rsidRPr="00D23FD0">
        <w:rPr>
          <w:rFonts w:ascii="宋体" w:eastAsia="PMingLiU" w:hAnsi="宋体" w:hint="eastAsia"/>
          <w:sz w:val="24"/>
          <w:szCs w:val="24"/>
          <w:lang w:eastAsia="zh-TW"/>
        </w:rPr>
        <w:t>募投管退</w:t>
      </w:r>
      <w:r w:rsidRPr="00D23FD0">
        <w:rPr>
          <w:rFonts w:ascii="宋体" w:eastAsia="PMingLiU" w:hAnsi="宋体"/>
          <w:sz w:val="24"/>
          <w:szCs w:val="24"/>
          <w:lang w:eastAsia="zh-TW"/>
        </w:rPr>
        <w:t>”</w:t>
      </w:r>
      <w:r w:rsidRPr="00D23FD0">
        <w:rPr>
          <w:rFonts w:ascii="宋体" w:eastAsia="PMingLiU" w:hAnsi="宋体" w:hint="eastAsia"/>
          <w:sz w:val="24"/>
          <w:szCs w:val="24"/>
          <w:lang w:eastAsia="zh-TW"/>
        </w:rPr>
        <w:t>主平臺。發展私募股權二級市場基金，加强股權投資投後服務機制和體系建設，爲高成長企業提供全生命周期股權投資服務。鼓勵在京跨國公司强化全球或區域資金管理功能，經批准可進入銀行間外匯市場交易。</w:t>
      </w:r>
    </w:p>
    <w:p w:rsidR="00D23FD0" w:rsidRPr="00D23FD0" w:rsidRDefault="00D23FD0" w:rsidP="00D23FD0">
      <w:pPr>
        <w:spacing w:afterLines="50" w:after="156" w:line="360" w:lineRule="auto"/>
        <w:rPr>
          <w:rFonts w:ascii="宋体" w:eastAsia="宋体" w:hAnsi="宋体"/>
          <w:sz w:val="24"/>
          <w:szCs w:val="24"/>
        </w:rPr>
      </w:pPr>
      <w:r w:rsidRPr="00D23FD0">
        <w:rPr>
          <w:rFonts w:ascii="宋体" w:eastAsia="PMingLiU" w:hAnsi="宋体" w:hint="eastAsia"/>
          <w:sz w:val="24"/>
          <w:szCs w:val="24"/>
          <w:lang w:eastAsia="zh-TW"/>
        </w:rPr>
        <w:t>（四）提升對外開放水平，打造金融雙向開放體系</w:t>
      </w:r>
    </w:p>
    <w:p w:rsidR="00D23FD0" w:rsidRPr="00D23FD0" w:rsidRDefault="00D23FD0" w:rsidP="00D23FD0">
      <w:pPr>
        <w:spacing w:afterLines="50" w:after="156" w:line="360" w:lineRule="auto"/>
        <w:rPr>
          <w:rFonts w:ascii="宋体" w:eastAsia="宋体" w:hAnsi="宋体"/>
          <w:sz w:val="24"/>
          <w:szCs w:val="24"/>
          <w:lang w:eastAsia="zh-TW"/>
        </w:rPr>
      </w:pPr>
      <w:r w:rsidRPr="00D23FD0">
        <w:rPr>
          <w:rFonts w:ascii="宋体" w:eastAsia="PMingLiU" w:hAnsi="宋体"/>
          <w:sz w:val="24"/>
          <w:szCs w:val="24"/>
          <w:lang w:eastAsia="zh-TW"/>
        </w:rPr>
        <w:lastRenderedPageBreak/>
        <w:t>10.</w:t>
      </w:r>
      <w:r w:rsidRPr="00D23FD0">
        <w:rPr>
          <w:rFonts w:ascii="宋体" w:eastAsia="PMingLiU" w:hAnsi="宋体" w:hint="eastAsia"/>
          <w:sz w:val="24"/>
          <w:szCs w:val="24"/>
          <w:lang w:eastAsia="zh-TW"/>
        </w:rPr>
        <w:t>支持外資機構拓展發展空間。支持外資金融機構在資産管理、投資管理、養老金管理、風險管理等方面積極引入先進國際經驗，參與首都金融改革創新，豐富首都金融産品和服務。支持外資保險資産管理公司從事保險資金境外投資受托管理業務。支持外資機構獲得更多業務資質，深度參與國內金融市場，開展股票、債券、外匯、基金、黃金市場和銀行間市場交易。</w:t>
      </w:r>
    </w:p>
    <w:p w:rsidR="00D23FD0" w:rsidRPr="00D23FD0" w:rsidRDefault="00D23FD0" w:rsidP="00D23FD0">
      <w:pPr>
        <w:spacing w:afterLines="50" w:after="156" w:line="360" w:lineRule="auto"/>
        <w:rPr>
          <w:rFonts w:ascii="宋体" w:eastAsia="宋体" w:hAnsi="宋体"/>
          <w:sz w:val="24"/>
          <w:szCs w:val="24"/>
          <w:lang w:eastAsia="zh-TW"/>
        </w:rPr>
      </w:pPr>
      <w:r w:rsidRPr="00D23FD0">
        <w:rPr>
          <w:rFonts w:ascii="宋体" w:eastAsia="PMingLiU" w:hAnsi="宋体"/>
          <w:sz w:val="24"/>
          <w:szCs w:val="24"/>
          <w:lang w:eastAsia="zh-TW"/>
        </w:rPr>
        <w:t>11.</w:t>
      </w:r>
      <w:r w:rsidRPr="00D23FD0">
        <w:rPr>
          <w:rFonts w:ascii="宋体" w:eastAsia="PMingLiU" w:hAnsi="宋体" w:hint="eastAsia"/>
          <w:sz w:val="24"/>
          <w:szCs w:val="24"/>
          <w:lang w:eastAsia="zh-TW"/>
        </w:rPr>
        <w:t>持續深化開放創新試點。支持合格境外機構投資者（</w:t>
      </w:r>
      <w:r w:rsidRPr="00D23FD0">
        <w:rPr>
          <w:rFonts w:ascii="宋体" w:eastAsia="PMingLiU" w:hAnsi="宋体"/>
          <w:sz w:val="24"/>
          <w:szCs w:val="24"/>
          <w:lang w:eastAsia="zh-TW"/>
        </w:rPr>
        <w:t>QFII</w:t>
      </w:r>
      <w:r w:rsidRPr="00D23FD0">
        <w:rPr>
          <w:rFonts w:ascii="宋体" w:eastAsia="PMingLiU" w:hAnsi="宋体" w:hint="eastAsia"/>
          <w:sz w:val="24"/>
          <w:szCs w:val="24"/>
          <w:lang w:eastAsia="zh-TW"/>
        </w:rPr>
        <w:t>）和人民幣合格境外機構投資者（</w:t>
      </w:r>
      <w:r w:rsidRPr="00D23FD0">
        <w:rPr>
          <w:rFonts w:ascii="宋体" w:eastAsia="PMingLiU" w:hAnsi="宋体"/>
          <w:sz w:val="24"/>
          <w:szCs w:val="24"/>
          <w:lang w:eastAsia="zh-TW"/>
        </w:rPr>
        <w:t>RQFII</w:t>
      </w:r>
      <w:r w:rsidRPr="00D23FD0">
        <w:rPr>
          <w:rFonts w:ascii="宋体" w:eastAsia="PMingLiU" w:hAnsi="宋体" w:hint="eastAsia"/>
          <w:sz w:val="24"/>
          <w:szCs w:val="24"/>
          <w:lang w:eastAsia="zh-TW"/>
        </w:rPr>
        <w:t>）開展境內證券投資業務，參與北京證券交易所交易。支持優質機構和企業申請成爲合格境內機構投資者（</w:t>
      </w:r>
      <w:r w:rsidRPr="00D23FD0">
        <w:rPr>
          <w:rFonts w:ascii="宋体" w:eastAsia="PMingLiU" w:hAnsi="宋体"/>
          <w:sz w:val="24"/>
          <w:szCs w:val="24"/>
          <w:lang w:eastAsia="zh-TW"/>
        </w:rPr>
        <w:t>QDII</w:t>
      </w:r>
      <w:r w:rsidRPr="00D23FD0">
        <w:rPr>
          <w:rFonts w:ascii="宋体" w:eastAsia="PMingLiU" w:hAnsi="宋体" w:hint="eastAsia"/>
          <w:sz w:val="24"/>
          <w:szCs w:val="24"/>
          <w:lang w:eastAsia="zh-TW"/>
        </w:rPr>
        <w:t>），開展境外證券投資業務。深入實施合格境外有限合夥人（</w:t>
      </w:r>
      <w:r w:rsidRPr="00D23FD0">
        <w:rPr>
          <w:rFonts w:ascii="宋体" w:eastAsia="PMingLiU" w:hAnsi="宋体"/>
          <w:sz w:val="24"/>
          <w:szCs w:val="24"/>
          <w:lang w:eastAsia="zh-TW"/>
        </w:rPr>
        <w:t>QFLP</w:t>
      </w:r>
      <w:r w:rsidRPr="00D23FD0">
        <w:rPr>
          <w:rFonts w:ascii="宋体" w:eastAsia="PMingLiU" w:hAnsi="宋体" w:hint="eastAsia"/>
          <w:sz w:val="24"/>
          <w:szCs w:val="24"/>
          <w:lang w:eastAsia="zh-TW"/>
        </w:rPr>
        <w:t>）境內投資、合格境內有限合夥人（</w:t>
      </w:r>
      <w:r w:rsidRPr="00D23FD0">
        <w:rPr>
          <w:rFonts w:ascii="宋体" w:eastAsia="PMingLiU" w:hAnsi="宋体"/>
          <w:sz w:val="24"/>
          <w:szCs w:val="24"/>
          <w:lang w:eastAsia="zh-TW"/>
        </w:rPr>
        <w:t>QDLP</w:t>
      </w:r>
      <w:r w:rsidRPr="00D23FD0">
        <w:rPr>
          <w:rFonts w:ascii="宋体" w:eastAsia="PMingLiU" w:hAnsi="宋体" w:hint="eastAsia"/>
          <w:sz w:val="24"/>
          <w:szCs w:val="24"/>
          <w:lang w:eastAsia="zh-TW"/>
        </w:rPr>
        <w:t>）境外投資試點。依法依規推動保險資金以及符合條件的主權基金等境內外長期資金入市。</w:t>
      </w:r>
    </w:p>
    <w:p w:rsidR="00D23FD0" w:rsidRPr="00D23FD0" w:rsidRDefault="00D23FD0" w:rsidP="00D23FD0">
      <w:pPr>
        <w:spacing w:afterLines="50" w:after="156" w:line="360" w:lineRule="auto"/>
        <w:rPr>
          <w:rFonts w:ascii="宋体" w:eastAsia="宋体" w:hAnsi="宋体"/>
          <w:sz w:val="24"/>
          <w:szCs w:val="24"/>
          <w:lang w:eastAsia="zh-TW"/>
        </w:rPr>
      </w:pPr>
      <w:r w:rsidRPr="00D23FD0">
        <w:rPr>
          <w:rFonts w:ascii="宋体" w:eastAsia="PMingLiU" w:hAnsi="宋体"/>
          <w:sz w:val="24"/>
          <w:szCs w:val="24"/>
          <w:lang w:eastAsia="zh-TW"/>
        </w:rPr>
        <w:t>12.</w:t>
      </w:r>
      <w:r w:rsidRPr="00D23FD0">
        <w:rPr>
          <w:rFonts w:ascii="宋体" w:eastAsia="PMingLiU" w:hAnsi="宋体" w:hint="eastAsia"/>
          <w:sz w:val="24"/>
          <w:szCs w:val="24"/>
          <w:lang w:eastAsia="zh-TW"/>
        </w:rPr>
        <w:t>推動境內外市場互聯互通。深入開展本外幣一體化賬戶試點和本外幣一體化業務試點。擴大本外幣一體化跨境資金池試點範圍，將更多符合條件的跨國公司納入試點。支持在京金融機構開展跨境人民幣金融産品創新，發揮人民幣國際投貸基金作用，開展人民幣境外直接投資等業務，助力中國企業</w:t>
      </w:r>
      <w:r w:rsidRPr="00D23FD0">
        <w:rPr>
          <w:rFonts w:ascii="宋体" w:eastAsia="PMingLiU" w:hAnsi="宋体"/>
          <w:sz w:val="24"/>
          <w:szCs w:val="24"/>
          <w:lang w:eastAsia="zh-TW"/>
        </w:rPr>
        <w:t>“</w:t>
      </w:r>
      <w:r w:rsidRPr="00D23FD0">
        <w:rPr>
          <w:rFonts w:ascii="宋体" w:eastAsia="PMingLiU" w:hAnsi="宋体" w:hint="eastAsia"/>
          <w:sz w:val="24"/>
          <w:szCs w:val="24"/>
          <w:lang w:eastAsia="zh-TW"/>
        </w:rPr>
        <w:t>走出去</w:t>
      </w:r>
      <w:r w:rsidRPr="00D23FD0">
        <w:rPr>
          <w:rFonts w:ascii="宋体" w:eastAsia="PMingLiU" w:hAnsi="宋体"/>
          <w:sz w:val="24"/>
          <w:szCs w:val="24"/>
          <w:lang w:eastAsia="zh-TW"/>
        </w:rPr>
        <w:t>”</w:t>
      </w:r>
      <w:r w:rsidRPr="00D23FD0">
        <w:rPr>
          <w:rFonts w:ascii="宋体" w:eastAsia="PMingLiU" w:hAnsi="宋体" w:hint="eastAsia"/>
          <w:sz w:val="24"/>
          <w:szCs w:val="24"/>
          <w:lang w:eastAsia="zh-TW"/>
        </w:rPr>
        <w:t>和參與共建</w:t>
      </w:r>
      <w:r w:rsidRPr="00D23FD0">
        <w:rPr>
          <w:rFonts w:ascii="宋体" w:eastAsia="PMingLiU" w:hAnsi="宋体"/>
          <w:sz w:val="24"/>
          <w:szCs w:val="24"/>
          <w:lang w:eastAsia="zh-TW"/>
        </w:rPr>
        <w:t>“</w:t>
      </w:r>
      <w:r w:rsidRPr="00D23FD0">
        <w:rPr>
          <w:rFonts w:ascii="宋体" w:eastAsia="PMingLiU" w:hAnsi="宋体" w:hint="eastAsia"/>
          <w:sz w:val="24"/>
          <w:szCs w:val="24"/>
          <w:lang w:eastAsia="zh-TW"/>
        </w:rPr>
        <w:t>一帶一路</w:t>
      </w:r>
      <w:r w:rsidRPr="00D23FD0">
        <w:rPr>
          <w:rFonts w:ascii="宋体" w:eastAsia="PMingLiU" w:hAnsi="宋体"/>
          <w:sz w:val="24"/>
          <w:szCs w:val="24"/>
          <w:lang w:eastAsia="zh-TW"/>
        </w:rPr>
        <w:t>”</w:t>
      </w:r>
      <w:r w:rsidRPr="00D23FD0">
        <w:rPr>
          <w:rFonts w:ascii="宋体" w:eastAsia="PMingLiU" w:hAnsi="宋体" w:hint="eastAsia"/>
          <w:sz w:val="24"/>
          <w:szCs w:val="24"/>
          <w:lang w:eastAsia="zh-TW"/>
        </w:rPr>
        <w:t>。依法依規開展綠色債券、綠色股權投融資業務，支持相關企業融資發展。</w:t>
      </w:r>
    </w:p>
    <w:p w:rsidR="00D23FD0" w:rsidRPr="00D23FD0" w:rsidRDefault="00D23FD0" w:rsidP="00D23FD0">
      <w:pPr>
        <w:spacing w:afterLines="50" w:after="156" w:line="360" w:lineRule="auto"/>
        <w:rPr>
          <w:rFonts w:ascii="宋体" w:eastAsia="宋体" w:hAnsi="宋体"/>
          <w:sz w:val="24"/>
          <w:szCs w:val="24"/>
        </w:rPr>
      </w:pPr>
      <w:r w:rsidRPr="00D23FD0">
        <w:rPr>
          <w:rFonts w:ascii="宋体" w:eastAsia="PMingLiU" w:hAnsi="宋体" w:hint="eastAsia"/>
          <w:sz w:val="24"/>
          <w:szCs w:val="24"/>
          <w:lang w:eastAsia="zh-TW"/>
        </w:rPr>
        <w:t>（五）優化行業發展環境，打造國際一流營商環境</w:t>
      </w:r>
    </w:p>
    <w:p w:rsidR="00D23FD0" w:rsidRPr="00D23FD0" w:rsidRDefault="00D23FD0" w:rsidP="00D23FD0">
      <w:pPr>
        <w:spacing w:afterLines="50" w:after="156" w:line="360" w:lineRule="auto"/>
        <w:rPr>
          <w:rFonts w:ascii="宋体" w:eastAsia="宋体" w:hAnsi="宋体"/>
          <w:sz w:val="24"/>
          <w:szCs w:val="24"/>
          <w:lang w:eastAsia="zh-TW"/>
        </w:rPr>
      </w:pPr>
      <w:r w:rsidRPr="00D23FD0">
        <w:rPr>
          <w:rFonts w:ascii="宋体" w:eastAsia="PMingLiU" w:hAnsi="宋体"/>
          <w:sz w:val="24"/>
          <w:szCs w:val="24"/>
          <w:lang w:eastAsia="zh-TW"/>
        </w:rPr>
        <w:t>13.</w:t>
      </w:r>
      <w:r w:rsidRPr="00D23FD0">
        <w:rPr>
          <w:rFonts w:ascii="宋体" w:eastAsia="PMingLiU" w:hAnsi="宋体" w:hint="eastAsia"/>
          <w:sz w:val="24"/>
          <w:szCs w:val="24"/>
          <w:lang w:eastAsia="zh-TW"/>
        </w:rPr>
        <w:t>鼓勵發展財富管理專業教育。發揮首都學科資源優勢，鼓勵企業、金融機構、高校等深入開展財富管理行業研究。鼓勵符合條件的在京高校開設財富管理、資産管理專業課程，推動財富管理職業資格證書制度建設。探索引入國際信托與資</w:t>
      </w:r>
      <w:r w:rsidRPr="00D23FD0">
        <w:rPr>
          <w:rFonts w:ascii="宋体" w:eastAsia="PMingLiU" w:hAnsi="宋体" w:hint="eastAsia"/>
          <w:sz w:val="24"/>
          <w:szCs w:val="24"/>
          <w:lang w:eastAsia="zh-TW"/>
        </w:rPr>
        <w:lastRenderedPageBreak/>
        <w:t>産規劃學會（</w:t>
      </w:r>
      <w:r w:rsidRPr="00D23FD0">
        <w:rPr>
          <w:rFonts w:ascii="宋体" w:eastAsia="PMingLiU" w:hAnsi="宋体"/>
          <w:sz w:val="24"/>
          <w:szCs w:val="24"/>
          <w:lang w:eastAsia="zh-TW"/>
        </w:rPr>
        <w:t>STEP</w:t>
      </w:r>
      <w:r w:rsidRPr="00D23FD0">
        <w:rPr>
          <w:rFonts w:ascii="宋体" w:eastAsia="PMingLiU" w:hAnsi="宋体" w:hint="eastAsia"/>
          <w:sz w:val="24"/>
          <w:szCs w:val="24"/>
          <w:lang w:eastAsia="zh-TW"/>
        </w:rPr>
        <w:t>）等知名財富管理行業認證體系，打造具有國際競爭力的從業人員隊伍。</w:t>
      </w:r>
    </w:p>
    <w:p w:rsidR="00D23FD0" w:rsidRPr="00D23FD0" w:rsidRDefault="00D23FD0" w:rsidP="00D23FD0">
      <w:pPr>
        <w:spacing w:afterLines="50" w:after="156" w:line="360" w:lineRule="auto"/>
        <w:rPr>
          <w:rFonts w:ascii="宋体" w:eastAsia="宋体" w:hAnsi="宋体"/>
          <w:sz w:val="24"/>
          <w:szCs w:val="24"/>
        </w:rPr>
      </w:pPr>
      <w:r w:rsidRPr="00D23FD0">
        <w:rPr>
          <w:rFonts w:ascii="宋体" w:eastAsia="PMingLiU" w:hAnsi="宋体"/>
          <w:sz w:val="24"/>
          <w:szCs w:val="24"/>
          <w:lang w:eastAsia="zh-TW"/>
        </w:rPr>
        <w:t>14.</w:t>
      </w:r>
      <w:r w:rsidRPr="00D23FD0">
        <w:rPr>
          <w:rFonts w:ascii="宋体" w:eastAsia="PMingLiU" w:hAnsi="宋体" w:hint="eastAsia"/>
          <w:sz w:val="24"/>
          <w:szCs w:val="24"/>
          <w:lang w:eastAsia="zh-TW"/>
        </w:rPr>
        <w:t>引進財富管理專業人才。深入實施金融領域國際職業資格認可，將境外權威職業資格納入《</w:t>
      </w:r>
      <w:r w:rsidRPr="00D23FD0">
        <w:rPr>
          <w:rFonts w:ascii="宋体" w:eastAsia="PMingLiU" w:hAnsi="宋体"/>
          <w:sz w:val="24"/>
          <w:szCs w:val="24"/>
          <w:lang w:eastAsia="zh-TW"/>
        </w:rPr>
        <w:t>“</w:t>
      </w:r>
      <w:r w:rsidRPr="00D23FD0">
        <w:rPr>
          <w:rFonts w:ascii="宋体" w:eastAsia="PMingLiU" w:hAnsi="宋体" w:hint="eastAsia"/>
          <w:sz w:val="24"/>
          <w:szCs w:val="24"/>
          <w:lang w:eastAsia="zh-TW"/>
        </w:rPr>
        <w:t>兩區</w:t>
      </w:r>
      <w:r w:rsidRPr="00D23FD0">
        <w:rPr>
          <w:rFonts w:ascii="宋体" w:eastAsia="PMingLiU" w:hAnsi="宋体"/>
          <w:sz w:val="24"/>
          <w:szCs w:val="24"/>
          <w:lang w:eastAsia="zh-TW"/>
        </w:rPr>
        <w:t>”</w:t>
      </w:r>
      <w:r w:rsidRPr="00D23FD0">
        <w:rPr>
          <w:rFonts w:ascii="宋体" w:eastAsia="PMingLiU" w:hAnsi="宋体" w:hint="eastAsia"/>
          <w:sz w:val="24"/>
          <w:szCs w:val="24"/>
          <w:lang w:eastAsia="zh-TW"/>
        </w:rPr>
        <w:t>境外職業資格認可目錄》。支持金融領域具有境外職業資格、符合條件的專業人才經備案後在京工作，其境外從業經歷視同境內從業經歷。按照相關規定，爲財富管理、資産管理行業緊缺人才提供綜合服務保障。</w:t>
      </w:r>
    </w:p>
    <w:p w:rsidR="00D23FD0" w:rsidRPr="00D23FD0" w:rsidRDefault="00D23FD0" w:rsidP="00D23FD0">
      <w:pPr>
        <w:spacing w:afterLines="50" w:after="156" w:line="360" w:lineRule="auto"/>
        <w:rPr>
          <w:rFonts w:ascii="宋体" w:eastAsia="宋体" w:hAnsi="宋体"/>
          <w:sz w:val="24"/>
          <w:szCs w:val="24"/>
        </w:rPr>
      </w:pPr>
      <w:r w:rsidRPr="00D23FD0">
        <w:rPr>
          <w:rFonts w:ascii="宋体" w:eastAsia="PMingLiU" w:hAnsi="宋体"/>
          <w:sz w:val="24"/>
          <w:szCs w:val="24"/>
          <w:lang w:eastAsia="zh-TW"/>
        </w:rPr>
        <w:t>15.</w:t>
      </w:r>
      <w:r w:rsidRPr="00D23FD0">
        <w:rPr>
          <w:rFonts w:ascii="宋体" w:eastAsia="PMingLiU" w:hAnsi="宋体" w:hint="eastAsia"/>
          <w:sz w:val="24"/>
          <w:szCs w:val="24"/>
          <w:lang w:eastAsia="zh-TW"/>
        </w:rPr>
        <w:t>引導行業組織規範發展。充分發揮資産管理、財富管理行業協會作用，不斷强化行業引導、自律規範、創新服務、標準研究、行業交流等功能，促進行業規範健康發展。依托財富管理研究機構建設金融普惠教育基地，定期發布北京財富管理行業報告。</w:t>
      </w:r>
    </w:p>
    <w:p w:rsidR="00D23FD0" w:rsidRPr="00D23FD0" w:rsidRDefault="00D23FD0" w:rsidP="00D23FD0">
      <w:pPr>
        <w:spacing w:afterLines="50" w:after="156" w:line="360" w:lineRule="auto"/>
        <w:rPr>
          <w:rFonts w:ascii="宋体" w:eastAsia="宋体" w:hAnsi="宋体"/>
          <w:sz w:val="24"/>
          <w:szCs w:val="24"/>
        </w:rPr>
      </w:pPr>
      <w:r w:rsidRPr="00D23FD0">
        <w:rPr>
          <w:rFonts w:ascii="宋体" w:eastAsia="PMingLiU" w:hAnsi="宋体"/>
          <w:sz w:val="24"/>
          <w:szCs w:val="24"/>
          <w:lang w:eastAsia="zh-TW"/>
        </w:rPr>
        <w:t>16.</w:t>
      </w:r>
      <w:r w:rsidRPr="00D23FD0">
        <w:rPr>
          <w:rFonts w:ascii="宋体" w:eastAsia="PMingLiU" w:hAnsi="宋体" w:hint="eastAsia"/>
          <w:sz w:val="24"/>
          <w:szCs w:val="24"/>
          <w:lang w:eastAsia="zh-TW"/>
        </w:rPr>
        <w:t>加强國際交流合作。加强與國際財富管理中心城市、國際性金融協會組織以及國際大型財富管理集團的交流，拓展國際合作空間。深化與港澳地區金融市場合作，推動財富管理産品與服務創新，促進市場互聯互通。定期舉辦國際高端財富管理論壇、財富管理峰會，打造國際一流的行業交流及信息發布平臺，持續擴大國內外影響力。</w:t>
      </w:r>
    </w:p>
    <w:p w:rsidR="00D23FD0" w:rsidRPr="00D23FD0" w:rsidRDefault="00D23FD0" w:rsidP="00D23FD0">
      <w:pPr>
        <w:spacing w:afterLines="50" w:after="156" w:line="360" w:lineRule="auto"/>
        <w:rPr>
          <w:rFonts w:ascii="宋体" w:eastAsia="宋体" w:hAnsi="宋体"/>
          <w:sz w:val="24"/>
          <w:szCs w:val="24"/>
        </w:rPr>
      </w:pPr>
      <w:r w:rsidRPr="00D23FD0">
        <w:rPr>
          <w:rFonts w:ascii="宋体" w:eastAsia="PMingLiU" w:hAnsi="宋体"/>
          <w:sz w:val="24"/>
          <w:szCs w:val="24"/>
          <w:lang w:eastAsia="zh-TW"/>
        </w:rPr>
        <w:t>17.</w:t>
      </w:r>
      <w:r w:rsidRPr="00D23FD0">
        <w:rPr>
          <w:rFonts w:ascii="宋体" w:eastAsia="PMingLiU" w:hAnsi="宋体" w:hint="eastAsia"/>
          <w:sz w:val="24"/>
          <w:szCs w:val="24"/>
          <w:lang w:eastAsia="zh-TW"/>
        </w:rPr>
        <w:t>强化行業監管和投資者保護。支持北京金融法院更好發揮作用，優化首都金融法治環境。加强金融監管部門之間、監管部門與地方政府之間的統籌協調，强化制度建設和數據統計等基礎工作，共同加强對跨行業跨市場業務的風險防範與處置。堅持金融業務必須持牌經營的原則，堅决打擊假借財富管理名義的非法金融活動和非法集資。强化金融消費者保護，鼓勵各類機構廣泛開展金融理財知識宣傳，强化居民財富管理意識和風險防控意識。</w:t>
      </w:r>
    </w:p>
    <w:p w:rsidR="00D23FD0" w:rsidRPr="00D23FD0" w:rsidRDefault="00D23FD0" w:rsidP="00D23FD0">
      <w:pPr>
        <w:spacing w:afterLines="50" w:after="156" w:line="360" w:lineRule="auto"/>
        <w:rPr>
          <w:rFonts w:ascii="宋体" w:eastAsia="宋体" w:hAnsi="宋体"/>
          <w:sz w:val="24"/>
          <w:szCs w:val="24"/>
        </w:rPr>
      </w:pPr>
      <w:r w:rsidRPr="00D23FD0">
        <w:rPr>
          <w:rFonts w:ascii="宋体" w:eastAsia="PMingLiU" w:hAnsi="宋体" w:hint="eastAsia"/>
          <w:sz w:val="24"/>
          <w:szCs w:val="24"/>
          <w:lang w:eastAsia="zh-TW"/>
        </w:rPr>
        <w:lastRenderedPageBreak/>
        <w:t>（六）支持城市副中心高質量發展，打造全球財富管理新高地</w:t>
      </w:r>
    </w:p>
    <w:p w:rsidR="00D23FD0" w:rsidRPr="00D23FD0" w:rsidRDefault="00D23FD0" w:rsidP="00D23FD0">
      <w:pPr>
        <w:spacing w:afterLines="50" w:after="156" w:line="360" w:lineRule="auto"/>
        <w:rPr>
          <w:rFonts w:ascii="宋体" w:eastAsia="宋体" w:hAnsi="宋体"/>
          <w:sz w:val="24"/>
          <w:szCs w:val="24"/>
        </w:rPr>
      </w:pPr>
      <w:r w:rsidRPr="00D23FD0">
        <w:rPr>
          <w:rFonts w:ascii="宋体" w:eastAsia="PMingLiU" w:hAnsi="宋体"/>
          <w:sz w:val="24"/>
          <w:szCs w:val="24"/>
          <w:lang w:eastAsia="zh-TW"/>
        </w:rPr>
        <w:t>18.</w:t>
      </w:r>
      <w:r w:rsidRPr="00D23FD0">
        <w:rPr>
          <w:rFonts w:ascii="宋体" w:eastAsia="PMingLiU" w:hAnsi="宋体" w:hint="eastAsia"/>
          <w:sz w:val="24"/>
          <w:szCs w:val="24"/>
          <w:lang w:eastAsia="zh-TW"/>
        </w:rPr>
        <w:t>支持發展財富管理業務。對標國際一流水準，支持在運河商務區建設全球財富管理中心，提高城市副中心財富管理行業承載能力。支持國內外優質資産管理、金融投資等財富管理機構，銀行、保險、證券、基金、信托等金融機構在城市副中心發展，支持區域養老金融、健康保險等業務發展，推動財富管理業態集群化、國際化發展。按照相關規定，符合條件的機構可享受開辦費用、辦公用房補助等資金支持。</w:t>
      </w:r>
    </w:p>
    <w:p w:rsidR="00D23FD0" w:rsidRPr="00D23FD0" w:rsidRDefault="00D23FD0" w:rsidP="00D23FD0">
      <w:pPr>
        <w:spacing w:afterLines="50" w:after="156" w:line="360" w:lineRule="auto"/>
        <w:rPr>
          <w:rFonts w:ascii="宋体" w:eastAsia="宋体" w:hAnsi="宋体"/>
          <w:sz w:val="24"/>
          <w:szCs w:val="24"/>
        </w:rPr>
      </w:pPr>
      <w:r w:rsidRPr="00D23FD0">
        <w:rPr>
          <w:rFonts w:ascii="宋体" w:eastAsia="PMingLiU" w:hAnsi="宋体"/>
          <w:sz w:val="24"/>
          <w:szCs w:val="24"/>
          <w:lang w:eastAsia="zh-TW"/>
        </w:rPr>
        <w:t>19.</w:t>
      </w:r>
      <w:r w:rsidRPr="00D23FD0">
        <w:rPr>
          <w:rFonts w:ascii="宋体" w:eastAsia="PMingLiU" w:hAnsi="宋体" w:hint="eastAsia"/>
          <w:sz w:val="24"/>
          <w:szCs w:val="24"/>
          <w:lang w:eastAsia="zh-TW"/>
        </w:rPr>
        <w:t>鼓勵行業創新與先行先試。加强與國家金融管理部門溝通，積極爭取城市副中心在財富管理産品與服務創新方面先行先試。支持通州區政府及其引導基金等機構共同出資設立城市副中心財富管理産業發展基金，帶動城市副中心財富管理、資産管理行業發展。</w:t>
      </w:r>
    </w:p>
    <w:p w:rsidR="00D23FD0" w:rsidRPr="00D23FD0" w:rsidRDefault="00D23FD0" w:rsidP="00D23FD0">
      <w:pPr>
        <w:spacing w:afterLines="50" w:after="156" w:line="360" w:lineRule="auto"/>
        <w:rPr>
          <w:rFonts w:ascii="宋体" w:eastAsia="宋体" w:hAnsi="宋体"/>
          <w:sz w:val="24"/>
          <w:szCs w:val="24"/>
        </w:rPr>
      </w:pPr>
      <w:r w:rsidRPr="00D23FD0">
        <w:rPr>
          <w:rFonts w:ascii="宋体" w:eastAsia="PMingLiU" w:hAnsi="宋体"/>
          <w:sz w:val="24"/>
          <w:szCs w:val="24"/>
          <w:lang w:eastAsia="zh-TW"/>
        </w:rPr>
        <w:t>20.</w:t>
      </w:r>
      <w:r w:rsidRPr="00D23FD0">
        <w:rPr>
          <w:rFonts w:ascii="宋体" w:eastAsia="PMingLiU" w:hAnsi="宋体" w:hint="eastAsia"/>
          <w:sz w:val="24"/>
          <w:szCs w:val="24"/>
          <w:lang w:eastAsia="zh-TW"/>
        </w:rPr>
        <w:t>提升城市副中心財富管理行業影響力。鼓勵中國銀行業、保險業、基金業、證券業協會等行業協會，中國金融學會、中國互聯網金融協會、金融理財標準委員會等學術團體支持城市副中心財富管理、資産管理行業發展。加强行業信息共享，研究建立財富管理行業數據庫，發布行業發展藍皮書及財富管理指數。</w:t>
      </w:r>
    </w:p>
    <w:p w:rsidR="00D23FD0" w:rsidRPr="00D23FD0" w:rsidRDefault="00D23FD0" w:rsidP="00D23FD0">
      <w:pPr>
        <w:spacing w:afterLines="50" w:after="156" w:line="360" w:lineRule="auto"/>
        <w:rPr>
          <w:rFonts w:ascii="宋体" w:eastAsia="宋体" w:hAnsi="宋体"/>
          <w:sz w:val="24"/>
          <w:szCs w:val="24"/>
        </w:rPr>
      </w:pPr>
      <w:r w:rsidRPr="00D23FD0">
        <w:rPr>
          <w:rFonts w:ascii="宋体" w:eastAsia="PMingLiU" w:hAnsi="宋体" w:hint="eastAsia"/>
          <w:sz w:val="24"/>
          <w:szCs w:val="24"/>
          <w:lang w:eastAsia="zh-TW"/>
        </w:rPr>
        <w:t>五、組織保障</w:t>
      </w:r>
    </w:p>
    <w:p w:rsidR="00A90FCD" w:rsidRPr="00D23FD0" w:rsidRDefault="00D23FD0" w:rsidP="00D23FD0">
      <w:pPr>
        <w:spacing w:afterLines="50" w:after="156" w:line="360" w:lineRule="auto"/>
        <w:rPr>
          <w:rFonts w:ascii="宋体" w:eastAsia="宋体" w:hAnsi="宋体"/>
          <w:sz w:val="24"/>
          <w:szCs w:val="24"/>
        </w:rPr>
      </w:pPr>
      <w:r w:rsidRPr="00D23FD0">
        <w:rPr>
          <w:rFonts w:ascii="宋体" w:eastAsia="PMingLiU" w:hAnsi="宋体" w:hint="eastAsia"/>
          <w:sz w:val="24"/>
          <w:szCs w:val="24"/>
          <w:lang w:eastAsia="zh-TW"/>
        </w:rPr>
        <w:t>本市各相關部門共同做好推動財富管理行業發展和有關政策的制定實施工作，建立定期溝通機制，完善與北京全球財富管理中心建設相適應的保障體系，構建跨行業、跨部門的風險聯防聯控機制，提升金融風險防控水平，牢牢守住不發生系統性金融風險底綫。</w:t>
      </w:r>
    </w:p>
    <w:sectPr w:rsidR="00A90FCD" w:rsidRPr="00D23F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FD0"/>
    <w:rsid w:val="00A90FCD"/>
    <w:rsid w:val="00D23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75FAE9-20F0-42C0-8F11-2955B2CE2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651</Words>
  <Characters>3714</Characters>
  <Application>Microsoft Office Word</Application>
  <DocSecurity>0</DocSecurity>
  <Lines>30</Lines>
  <Paragraphs>8</Paragraphs>
  <ScaleCrop>false</ScaleCrop>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21790074@qq.com</dc:creator>
  <cp:keywords/>
  <dc:description/>
  <cp:lastModifiedBy>21790074@qq.com</cp:lastModifiedBy>
  <cp:revision>1</cp:revision>
  <dcterms:created xsi:type="dcterms:W3CDTF">2022-09-11T13:44:00Z</dcterms:created>
  <dcterms:modified xsi:type="dcterms:W3CDTF">2022-09-11T13:47:00Z</dcterms:modified>
</cp:coreProperties>
</file>