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850B" w14:textId="17CB373D" w:rsidR="00356BE0" w:rsidRPr="00356BE0" w:rsidRDefault="00E92328" w:rsidP="00356BE0">
      <w:pPr>
        <w:widowControl/>
        <w:spacing w:afterLines="50" w:after="156" w:line="360" w:lineRule="auto"/>
        <w:jc w:val="center"/>
        <w:rPr>
          <w:rFonts w:ascii="宋体" w:eastAsia="宋体" w:hAnsi="宋体" w:cs="宋体"/>
          <w:kern w:val="0"/>
          <w:sz w:val="28"/>
          <w:szCs w:val="28"/>
        </w:rPr>
      </w:pPr>
      <w:r w:rsidRPr="00E92328">
        <w:rPr>
          <w:rFonts w:ascii="宋体" w:eastAsia="PMingLiU" w:hAnsi="宋体" w:cs="宋体" w:hint="eastAsia"/>
          <w:b/>
          <w:bCs/>
          <w:color w:val="FF4C41"/>
          <w:kern w:val="0"/>
          <w:sz w:val="28"/>
          <w:szCs w:val="28"/>
          <w:lang w:eastAsia="zh-TW"/>
        </w:rPr>
        <w:t>關于合格境外機構投資者和人民幣合格境外機構投資者境內證券交易登記結算業務的規定</w:t>
      </w:r>
    </w:p>
    <w:p w14:paraId="7A30D314" w14:textId="29AEE982"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第一條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爲進一步做好合格境外機構投資者和人民幣合格境外機構投資者（以下簡稱</w:t>
      </w:r>
      <w:r w:rsidRPr="00E92328">
        <w:rPr>
          <w:rFonts w:ascii="宋体" w:eastAsia="PMingLiU" w:hAnsi="宋体" w:cs="宋体"/>
          <w:kern w:val="0"/>
          <w:sz w:val="28"/>
          <w:szCs w:val="28"/>
          <w:lang w:eastAsia="zh-TW"/>
        </w:rPr>
        <w:t>“</w:t>
      </w:r>
      <w:r w:rsidRPr="00E92328">
        <w:rPr>
          <w:rFonts w:ascii="宋体" w:eastAsia="PMingLiU" w:hAnsi="宋体" w:cs="宋体" w:hint="eastAsia"/>
          <w:kern w:val="0"/>
          <w:sz w:val="28"/>
          <w:szCs w:val="28"/>
          <w:lang w:eastAsia="zh-TW"/>
        </w:rPr>
        <w:t>合格境外投資者</w:t>
      </w:r>
      <w:r w:rsidRPr="00E92328">
        <w:rPr>
          <w:rFonts w:ascii="宋体" w:eastAsia="PMingLiU" w:hAnsi="宋体" w:cs="宋体"/>
          <w:kern w:val="0"/>
          <w:sz w:val="28"/>
          <w:szCs w:val="28"/>
          <w:lang w:eastAsia="zh-TW"/>
        </w:rPr>
        <w:t>”</w:t>
      </w:r>
      <w:r w:rsidRPr="00E92328">
        <w:rPr>
          <w:rFonts w:ascii="宋体" w:eastAsia="PMingLiU" w:hAnsi="宋体" w:cs="宋体" w:hint="eastAsia"/>
          <w:kern w:val="0"/>
          <w:sz w:val="28"/>
          <w:szCs w:val="28"/>
          <w:lang w:eastAsia="zh-TW"/>
        </w:rPr>
        <w:t>）證券交易、</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登記結算業務工作，明確合格境外投資者及其委托的托管人和</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證券公司三者在交易、登記和結算業務中各自的責任和義務，</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根據《合格境外機構投資者和人民幣合格境外機構投資者境內</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證券期貨投資管理辦法》及相關法律法規，制定本規定。</w:t>
      </w:r>
    </w:p>
    <w:p w14:paraId="3E1EAF89" w14:textId="623931AB"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第二條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合格境外投資者及其委托的托管人和證券公司應當依據相關法律法規、證券交易場所的業務規則、中國證券登</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記結算有限責任公司（以下簡稱</w:t>
      </w:r>
      <w:r w:rsidRPr="00E92328">
        <w:rPr>
          <w:rFonts w:ascii="宋体" w:eastAsia="PMingLiU" w:hAnsi="宋体" w:cs="宋体"/>
          <w:kern w:val="0"/>
          <w:sz w:val="28"/>
          <w:szCs w:val="28"/>
          <w:lang w:eastAsia="zh-TW"/>
        </w:rPr>
        <w:t>“</w:t>
      </w:r>
      <w:r w:rsidRPr="00E92328">
        <w:rPr>
          <w:rFonts w:ascii="宋体" w:eastAsia="PMingLiU" w:hAnsi="宋体" w:cs="宋体" w:hint="eastAsia"/>
          <w:kern w:val="0"/>
          <w:sz w:val="28"/>
          <w:szCs w:val="28"/>
          <w:lang w:eastAsia="zh-TW"/>
        </w:rPr>
        <w:t>中國結算</w:t>
      </w:r>
      <w:r w:rsidRPr="00E92328">
        <w:rPr>
          <w:rFonts w:ascii="宋体" w:eastAsia="PMingLiU" w:hAnsi="宋体" w:cs="宋体"/>
          <w:kern w:val="0"/>
          <w:sz w:val="28"/>
          <w:szCs w:val="28"/>
          <w:lang w:eastAsia="zh-TW"/>
        </w:rPr>
        <w:t>”</w:t>
      </w:r>
      <w:r w:rsidRPr="00E92328">
        <w:rPr>
          <w:rFonts w:ascii="宋体" w:eastAsia="PMingLiU" w:hAnsi="宋体" w:cs="宋体" w:hint="eastAsia"/>
          <w:kern w:val="0"/>
          <w:sz w:val="28"/>
          <w:szCs w:val="28"/>
          <w:lang w:eastAsia="zh-TW"/>
        </w:rPr>
        <w:t>）業務規則和本</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規定，依法進行證券交易和登記結算活動，承擔相關的法律責任。</w:t>
      </w:r>
    </w:p>
    <w:p w14:paraId="3A40EB9E" w14:textId="076836CD"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第三條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托管人應當確保其托管的每個合格境外投資者在證券交易結算過程中的證券資産和資金資産的獨立性和安全性，且合格境外投資者的資産安全不得因爲其他合格境外投資者的行爲（包括超買賣空）而受到影響。</w:t>
      </w:r>
    </w:p>
    <w:p w14:paraId="679BE5DC" w14:textId="2D394D14" w:rsidR="00356BE0" w:rsidRPr="00356BE0" w:rsidRDefault="00E92328" w:rsidP="00356BE0">
      <w:pPr>
        <w:widowControl/>
        <w:spacing w:afterLines="50" w:after="156" w:line="360" w:lineRule="auto"/>
        <w:jc w:val="left"/>
        <w:rPr>
          <w:rFonts w:ascii="宋体" w:eastAsia="宋体" w:hAnsi="宋体" w:cs="宋体"/>
          <w:kern w:val="0"/>
          <w:sz w:val="28"/>
          <w:szCs w:val="28"/>
          <w:lang w:eastAsia="zh-TW"/>
        </w:rPr>
      </w:pPr>
      <w:r w:rsidRPr="00E92328">
        <w:rPr>
          <w:rFonts w:ascii="宋体" w:eastAsia="PMingLiU" w:hAnsi="宋体" w:cs="宋体" w:hint="eastAsia"/>
          <w:kern w:val="0"/>
          <w:sz w:val="28"/>
          <w:szCs w:val="28"/>
          <w:lang w:eastAsia="zh-TW"/>
        </w:rPr>
        <w:t>如果托管人發現合格境外投資者超買證券（人民幣專用存款賬戶的餘額不足以支付合格境外投資者當日應付資金淨</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額），可以按照相關協議向中國結算提出申請，將超買證券從合格境外投資者證券賬戶非交易過戶到指定當事人證券賬戶，</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同時將相應資金從指定當事</w:t>
      </w:r>
      <w:r w:rsidRPr="00E92328">
        <w:rPr>
          <w:rFonts w:ascii="宋体" w:eastAsia="PMingLiU" w:hAnsi="宋体" w:cs="宋体" w:hint="eastAsia"/>
          <w:kern w:val="0"/>
          <w:sz w:val="28"/>
          <w:szCs w:val="28"/>
          <w:lang w:eastAsia="zh-TW"/>
        </w:rPr>
        <w:lastRenderedPageBreak/>
        <w:t>人資金賬戶劃至托管人資金賬戶。第四條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合格境外投資者及其委托的托管人、證券公司應</w:t>
      </w:r>
    </w:p>
    <w:p w14:paraId="62CE247A" w14:textId="5B37BC7D" w:rsidR="00356BE0" w:rsidRPr="00356BE0" w:rsidRDefault="00E92328" w:rsidP="00356BE0">
      <w:pPr>
        <w:widowControl/>
        <w:spacing w:afterLines="50" w:after="156" w:line="360" w:lineRule="auto"/>
        <w:jc w:val="left"/>
        <w:rPr>
          <w:rFonts w:ascii="宋体" w:eastAsia="宋体" w:hAnsi="宋体" w:cs="宋体"/>
          <w:kern w:val="0"/>
          <w:sz w:val="28"/>
          <w:szCs w:val="28"/>
          <w:lang w:eastAsia="zh-TW"/>
        </w:rPr>
      </w:pPr>
      <w:r w:rsidRPr="00E92328">
        <w:rPr>
          <w:rFonts w:ascii="宋体" w:eastAsia="PMingLiU" w:hAnsi="宋体" w:cs="宋体" w:hint="eastAsia"/>
          <w:kern w:val="0"/>
          <w:sz w:val="28"/>
          <w:szCs w:val="28"/>
          <w:lang w:eastAsia="zh-TW"/>
        </w:rPr>
        <w:t>當簽訂協議，明確在防範錯誤交易以及在錯誤交易已經發生情</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况下各自的責任和義務。該協議應當報證券交易場所和中國結算備案。協議應當至少包括以下內容：</w:t>
      </w:r>
    </w:p>
    <w:p w14:paraId="195A4A51" w14:textId="0DBD7C20"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（一）協議各方的名稱、地址、專門連絡人及其地址和聯</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系方式；</w:t>
      </w:r>
    </w:p>
    <w:p w14:paraId="37E1D1C7" w14:textId="6D6653F5"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（二）防止錯誤交易的控制程序以及各方在該程序下的責</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任和義務；</w:t>
      </w:r>
    </w:p>
    <w:p w14:paraId="6D399CA7" w14:textId="58319340"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（三）錯誤交易發生後的處理程序以及各方在該程序下的</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責任和義務；</w:t>
      </w:r>
    </w:p>
    <w:p w14:paraId="563B98F2" w14:textId="4CB2D90D"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（四）爲更正錯誤交易辦理非交易過戶手續時的申請人；</w:t>
      </w:r>
    </w:p>
    <w:p w14:paraId="47675381" w14:textId="54EC40FB"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（五）指定當事人（指無論任何原因導致的超買證券行爲</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都向中國結算承擔交收責任的當事人）；</w:t>
      </w:r>
    </w:p>
    <w:p w14:paraId="61FB62AA" w14:textId="527AB679"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（六）協議期限；</w:t>
      </w:r>
    </w:p>
    <w:p w14:paraId="0404F5B1" w14:textId="335FB90A"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（七）各方約定的其他內容。</w:t>
      </w:r>
    </w:p>
    <w:p w14:paraId="4D524A49" w14:textId="10AFFA27"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第五條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合格境外投資者不得超買證券，合格境外投資者及其所委托的境內證券公司和托管人應當共同配合采取下列措施，</w:t>
      </w:r>
      <w:r w:rsidRPr="00E92328">
        <w:rPr>
          <w:rFonts w:ascii="宋体" w:eastAsia="PMingLiU" w:hAnsi="宋体" w:cs="宋体" w:hint="eastAsia"/>
          <w:color w:val="FF4C41"/>
          <w:kern w:val="0"/>
          <w:sz w:val="28"/>
          <w:szCs w:val="28"/>
          <w:lang w:eastAsia="zh-TW"/>
        </w:rPr>
        <w:t>防止合格境外投資者超買證券行爲發生。</w:t>
      </w:r>
    </w:p>
    <w:p w14:paraId="68F8BB31" w14:textId="3B7B290C"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（一）合格境外投資者在買賣證券之前，應當確保其在托管人處的證券餘額和資金餘額足以進行交收。</w:t>
      </w:r>
    </w:p>
    <w:p w14:paraId="29323D7D" w14:textId="422C1B22"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lastRenderedPageBreak/>
        <w:t>（二）托管人在獲得合格境外投資者的授權後，應當將該</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合格境外投資者當日可交易的資金和證券餘額提供給證券公</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司，以防止超買證券行爲的發生。</w:t>
      </w:r>
    </w:p>
    <w:p w14:paraId="076DB377" w14:textId="6B4D27C1"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（三）合格境外投資者委托的證券公司應當在每日開市前</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向托管人進行資金餘額核實，以確保擬執行的證券買賣不會導</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致超買證券。</w:t>
      </w:r>
    </w:p>
    <w:p w14:paraId="168A818C" w14:textId="28799E2F"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第六條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爲確保證券市場結算秩序和結算系統的安全運轉，無論任何原因導致的違規超買證券行爲，協議應當按照下列原則處理：</w:t>
      </w:r>
    </w:p>
    <w:p w14:paraId="5A989CDE" w14:textId="02174BD8"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（一）托管人依其托管職責應在第一時間向證監會、中國</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結算報告。</w:t>
      </w:r>
    </w:p>
    <w:p w14:paraId="2BC6D5A7" w14:textId="47F889A5"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（二）任何一方發現有超買證券的情况，均應在第一時間</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通知其他兩方，以便儘快確定超買差錯責任人。</w:t>
      </w:r>
    </w:p>
    <w:p w14:paraId="05FF3BD1" w14:textId="528FF2A8" w:rsidR="00356BE0" w:rsidRPr="00356BE0" w:rsidRDefault="00E92328" w:rsidP="00356BE0">
      <w:pPr>
        <w:widowControl/>
        <w:spacing w:afterLines="50" w:after="156" w:line="360" w:lineRule="auto"/>
        <w:jc w:val="left"/>
        <w:rPr>
          <w:rFonts w:ascii="宋体" w:eastAsia="宋体" w:hAnsi="宋体" w:cs="宋体"/>
          <w:kern w:val="0"/>
          <w:sz w:val="28"/>
          <w:szCs w:val="28"/>
          <w:lang w:eastAsia="zh-TW"/>
        </w:rPr>
      </w:pPr>
      <w:r w:rsidRPr="00E92328">
        <w:rPr>
          <w:rFonts w:ascii="宋体" w:eastAsia="PMingLiU" w:hAnsi="宋体" w:cs="宋体" w:hint="eastAsia"/>
          <w:kern w:val="0"/>
          <w:sz w:val="28"/>
          <w:szCs w:val="28"/>
          <w:lang w:eastAsia="zh-TW"/>
        </w:rPr>
        <w:t>（三）因托管人的錯誤導致超買證券行爲的，托管人應當</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就超買部分的證券向中國結算承擔交收責任，幷對超買部分的</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證券享有處置權和收益權。同時，托管人處置證券可以委托證券公司進行，中國結算提供必要協助。</w:t>
      </w:r>
    </w:p>
    <w:p w14:paraId="2BA673BB" w14:textId="356A66E0"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（四）因證券公司造成的超買證券行爲，托管人和證券公司應當直接向中國結算辦理超買證券部分的非交易過戶手續，</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將超買證券過戶給證券公司，同時，由中國結算從證券公司結</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算備付金賬戶中將與超買證券等額的資金劃付給托管人結算備</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付金賬戶。</w:t>
      </w:r>
    </w:p>
    <w:p w14:paraId="2BB28641" w14:textId="1EAA443F"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lastRenderedPageBreak/>
        <w:t>（五）如果在</w:t>
      </w:r>
      <w:r w:rsidRPr="00E92328">
        <w:rPr>
          <w:rFonts w:ascii="宋体" w:eastAsia="PMingLiU" w:hAnsi="宋体" w:cs="宋体"/>
          <w:kern w:val="0"/>
          <w:sz w:val="28"/>
          <w:szCs w:val="28"/>
          <w:lang w:eastAsia="zh-TW"/>
        </w:rPr>
        <w:t xml:space="preserve">T+1 </w:t>
      </w:r>
      <w:r w:rsidRPr="00E92328">
        <w:rPr>
          <w:rFonts w:ascii="宋体" w:eastAsia="PMingLiU" w:hAnsi="宋体" w:cs="宋体" w:hint="eastAsia"/>
          <w:kern w:val="0"/>
          <w:sz w:val="28"/>
          <w:szCs w:val="28"/>
          <w:lang w:eastAsia="zh-TW"/>
        </w:rPr>
        <w:t>日上午</w:t>
      </w:r>
      <w:r w:rsidRPr="00E92328">
        <w:rPr>
          <w:rFonts w:ascii="宋体" w:eastAsia="PMingLiU" w:hAnsi="宋体" w:cs="宋体"/>
          <w:kern w:val="0"/>
          <w:sz w:val="28"/>
          <w:szCs w:val="28"/>
          <w:lang w:eastAsia="zh-TW"/>
        </w:rPr>
        <w:t xml:space="preserve"> 12 </w:t>
      </w:r>
      <w:r w:rsidRPr="00E92328">
        <w:rPr>
          <w:rFonts w:ascii="宋体" w:eastAsia="PMingLiU" w:hAnsi="宋体" w:cs="宋体" w:hint="eastAsia"/>
          <w:kern w:val="0"/>
          <w:sz w:val="28"/>
          <w:szCs w:val="28"/>
          <w:lang w:eastAsia="zh-TW"/>
        </w:rPr>
        <w:t>時之前，合格境外投資者、托管人與證券公司未能查明超買證券的原因或未能確定超買差錯責任人的，應當由協議中確定的指定當事人按照協議規定辦理。</w:t>
      </w:r>
    </w:p>
    <w:p w14:paraId="7AD543BA" w14:textId="139D8C06"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（六）如果托管人或證券公司未能按照前述第（三）項、</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第（四）項和第（五）項規定承擔超買證券的交收責任，中國結算有權按照相關業務規則進行交收處理及違約處置。</w:t>
      </w:r>
    </w:p>
    <w:p w14:paraId="629427C9" w14:textId="00BEB2EC" w:rsidR="00356BE0" w:rsidRPr="00356BE0" w:rsidRDefault="00E92328" w:rsidP="00356BE0">
      <w:pPr>
        <w:widowControl/>
        <w:spacing w:afterLines="50" w:after="156" w:line="360" w:lineRule="auto"/>
        <w:jc w:val="left"/>
        <w:rPr>
          <w:rFonts w:ascii="宋体" w:eastAsia="宋体" w:hAnsi="宋体" w:cs="宋体"/>
          <w:kern w:val="0"/>
          <w:sz w:val="28"/>
          <w:szCs w:val="28"/>
        </w:rPr>
      </w:pPr>
      <w:r w:rsidRPr="00E92328">
        <w:rPr>
          <w:rFonts w:ascii="宋体" w:eastAsia="PMingLiU" w:hAnsi="宋体" w:cs="宋体" w:hint="eastAsia"/>
          <w:kern w:val="0"/>
          <w:sz w:val="28"/>
          <w:szCs w:val="28"/>
          <w:lang w:eastAsia="zh-TW"/>
        </w:rPr>
        <w:t>第七條</w:t>
      </w:r>
      <w:r w:rsidRPr="00E92328">
        <w:rPr>
          <w:rFonts w:ascii="宋体" w:eastAsia="PMingLiU" w:hAnsi="宋体" w:cs="宋体"/>
          <w:kern w:val="0"/>
          <w:sz w:val="28"/>
          <w:szCs w:val="28"/>
          <w:lang w:eastAsia="zh-TW"/>
        </w:rPr>
        <w:t xml:space="preserve"> </w:t>
      </w:r>
      <w:r w:rsidRPr="00E92328">
        <w:rPr>
          <w:rFonts w:ascii="宋体" w:eastAsia="PMingLiU" w:hAnsi="宋体" w:cs="宋体" w:hint="eastAsia"/>
          <w:kern w:val="0"/>
          <w:sz w:val="28"/>
          <w:szCs w:val="28"/>
          <w:lang w:eastAsia="zh-TW"/>
        </w:rPr>
        <w:t>本規定自公布之日起施行，</w:t>
      </w:r>
      <w:r w:rsidRPr="00E92328">
        <w:rPr>
          <w:rFonts w:ascii="宋体" w:eastAsia="PMingLiU" w:hAnsi="宋体" w:cs="宋体"/>
          <w:kern w:val="0"/>
          <w:sz w:val="28"/>
          <w:szCs w:val="28"/>
          <w:lang w:eastAsia="zh-TW"/>
        </w:rPr>
        <w:t xml:space="preserve">2003 </w:t>
      </w:r>
      <w:r w:rsidRPr="00E92328">
        <w:rPr>
          <w:rFonts w:ascii="宋体" w:eastAsia="PMingLiU" w:hAnsi="宋体" w:cs="宋体" w:hint="eastAsia"/>
          <w:kern w:val="0"/>
          <w:sz w:val="28"/>
          <w:szCs w:val="28"/>
          <w:lang w:eastAsia="zh-TW"/>
        </w:rPr>
        <w:t>年</w:t>
      </w:r>
      <w:r w:rsidRPr="00E92328">
        <w:rPr>
          <w:rFonts w:ascii="宋体" w:eastAsia="PMingLiU" w:hAnsi="宋体" w:cs="宋体"/>
          <w:kern w:val="0"/>
          <w:sz w:val="28"/>
          <w:szCs w:val="28"/>
          <w:lang w:eastAsia="zh-TW"/>
        </w:rPr>
        <w:t>7</w:t>
      </w:r>
      <w:r w:rsidRPr="00E92328">
        <w:rPr>
          <w:rFonts w:ascii="宋体" w:eastAsia="PMingLiU" w:hAnsi="宋体" w:cs="宋体" w:hint="eastAsia"/>
          <w:kern w:val="0"/>
          <w:sz w:val="28"/>
          <w:szCs w:val="28"/>
          <w:lang w:eastAsia="zh-TW"/>
        </w:rPr>
        <w:t>月</w:t>
      </w:r>
      <w:r w:rsidRPr="00E92328">
        <w:rPr>
          <w:rFonts w:ascii="宋体" w:eastAsia="PMingLiU" w:hAnsi="宋体" w:cs="宋体"/>
          <w:kern w:val="0"/>
          <w:sz w:val="28"/>
          <w:szCs w:val="28"/>
          <w:lang w:eastAsia="zh-TW"/>
        </w:rPr>
        <w:t xml:space="preserve">4 </w:t>
      </w:r>
      <w:r w:rsidRPr="00E92328">
        <w:rPr>
          <w:rFonts w:ascii="宋体" w:eastAsia="PMingLiU" w:hAnsi="宋体" w:cs="宋体" w:hint="eastAsia"/>
          <w:kern w:val="0"/>
          <w:sz w:val="28"/>
          <w:szCs w:val="28"/>
          <w:lang w:eastAsia="zh-TW"/>
        </w:rPr>
        <w:t>日發布的《關于合格境外機構投資者境內證券交易登記結算業務有關問題的通知》（證監市場字〔</w:t>
      </w:r>
      <w:r w:rsidRPr="00E92328">
        <w:rPr>
          <w:rFonts w:ascii="宋体" w:eastAsia="PMingLiU" w:hAnsi="宋体" w:cs="宋体"/>
          <w:kern w:val="0"/>
          <w:sz w:val="28"/>
          <w:szCs w:val="28"/>
          <w:lang w:eastAsia="zh-TW"/>
        </w:rPr>
        <w:t>2003</w:t>
      </w:r>
      <w:r w:rsidRPr="00E92328">
        <w:rPr>
          <w:rFonts w:ascii="宋体" w:eastAsia="PMingLiU" w:hAnsi="宋体" w:cs="宋体" w:hint="eastAsia"/>
          <w:kern w:val="0"/>
          <w:sz w:val="28"/>
          <w:szCs w:val="28"/>
          <w:lang w:eastAsia="zh-TW"/>
        </w:rPr>
        <w:t>〕</w:t>
      </w:r>
      <w:r w:rsidRPr="00E92328">
        <w:rPr>
          <w:rFonts w:ascii="宋体" w:eastAsia="PMingLiU" w:hAnsi="宋体" w:cs="宋体"/>
          <w:kern w:val="0"/>
          <w:sz w:val="28"/>
          <w:szCs w:val="28"/>
          <w:lang w:eastAsia="zh-TW"/>
        </w:rPr>
        <w:t xml:space="preserve">3 </w:t>
      </w:r>
      <w:r w:rsidRPr="00E92328">
        <w:rPr>
          <w:rFonts w:ascii="宋体" w:eastAsia="PMingLiU" w:hAnsi="宋体" w:cs="宋体" w:hint="eastAsia"/>
          <w:kern w:val="0"/>
          <w:sz w:val="28"/>
          <w:szCs w:val="28"/>
          <w:lang w:eastAsia="zh-TW"/>
        </w:rPr>
        <w:t>號）同時廢止。</w:t>
      </w:r>
    </w:p>
    <w:p w14:paraId="28F1FEBE" w14:textId="68C7358A" w:rsidR="00B80FFF" w:rsidRPr="00356BE0" w:rsidRDefault="00356BE0" w:rsidP="00356BE0">
      <w:pPr>
        <w:spacing w:afterLines="50" w:after="156" w:line="360" w:lineRule="auto"/>
        <w:jc w:val="left"/>
        <w:rPr>
          <w:sz w:val="28"/>
          <w:szCs w:val="28"/>
        </w:rPr>
      </w:pPr>
      <w:r w:rsidRPr="00356BE0">
        <w:rPr>
          <w:rFonts w:ascii="宋体" w:eastAsia="宋体" w:hAnsi="宋体" w:cs="宋体"/>
          <w:kern w:val="0"/>
          <w:sz w:val="28"/>
          <w:szCs w:val="28"/>
        </w:rPr>
        <w:br/>
      </w:r>
    </w:p>
    <w:sectPr w:rsidR="00B80FFF" w:rsidRPr="00356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1150" w14:textId="77777777" w:rsidR="0014258B" w:rsidRDefault="0014258B" w:rsidP="007F545D">
      <w:r>
        <w:separator/>
      </w:r>
    </w:p>
  </w:endnote>
  <w:endnote w:type="continuationSeparator" w:id="0">
    <w:p w14:paraId="4D816990" w14:textId="77777777" w:rsidR="0014258B" w:rsidRDefault="0014258B" w:rsidP="007F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17DE" w14:textId="77777777" w:rsidR="0014258B" w:rsidRDefault="0014258B" w:rsidP="007F545D">
      <w:r>
        <w:separator/>
      </w:r>
    </w:p>
  </w:footnote>
  <w:footnote w:type="continuationSeparator" w:id="0">
    <w:p w14:paraId="1B8DC9E8" w14:textId="77777777" w:rsidR="0014258B" w:rsidRDefault="0014258B" w:rsidP="007F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E0"/>
    <w:rsid w:val="0014258B"/>
    <w:rsid w:val="001F0E88"/>
    <w:rsid w:val="00356BE0"/>
    <w:rsid w:val="007F545D"/>
    <w:rsid w:val="008A3920"/>
    <w:rsid w:val="00B80FFF"/>
    <w:rsid w:val="00E9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4815"/>
  <w15:chartTrackingRefBased/>
  <w15:docId w15:val="{0A189655-D92C-4B2A-AECE-F7E6FF15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B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6BE0"/>
    <w:rPr>
      <w:b/>
      <w:bCs/>
    </w:rPr>
  </w:style>
  <w:style w:type="paragraph" w:styleId="a5">
    <w:name w:val="header"/>
    <w:basedOn w:val="a"/>
    <w:link w:val="a6"/>
    <w:uiPriority w:val="99"/>
    <w:unhideWhenUsed/>
    <w:rsid w:val="007F54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545D"/>
    <w:rPr>
      <w:sz w:val="18"/>
      <w:szCs w:val="18"/>
    </w:rPr>
  </w:style>
  <w:style w:type="paragraph" w:styleId="a7">
    <w:name w:val="footer"/>
    <w:basedOn w:val="a"/>
    <w:link w:val="a8"/>
    <w:uiPriority w:val="99"/>
    <w:unhideWhenUsed/>
    <w:rsid w:val="007F545D"/>
    <w:pPr>
      <w:tabs>
        <w:tab w:val="center" w:pos="4153"/>
        <w:tab w:val="right" w:pos="8306"/>
      </w:tabs>
      <w:snapToGrid w:val="0"/>
      <w:jc w:val="left"/>
    </w:pPr>
    <w:rPr>
      <w:sz w:val="18"/>
      <w:szCs w:val="18"/>
    </w:rPr>
  </w:style>
  <w:style w:type="character" w:customStyle="1" w:styleId="a8">
    <w:name w:val="页脚 字符"/>
    <w:basedOn w:val="a0"/>
    <w:link w:val="a7"/>
    <w:uiPriority w:val="99"/>
    <w:rsid w:val="007F54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5</cp:revision>
  <dcterms:created xsi:type="dcterms:W3CDTF">2022-09-10T10:27:00Z</dcterms:created>
  <dcterms:modified xsi:type="dcterms:W3CDTF">2022-09-10T12:09:00Z</dcterms:modified>
</cp:coreProperties>
</file>