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ind w:left="2075" w:leftChars="150" w:hanging="1760" w:hangingChars="400"/>
        <w:jc w:val="left"/>
        <w:rPr>
          <w:rFonts w:hint="eastAsia" w:ascii="黑体" w:hAnsi="黑体" w:eastAsia="黑体" w:cs="宋体"/>
          <w:color w:val="333333"/>
          <w:kern w:val="0"/>
          <w:sz w:val="44"/>
          <w:szCs w:val="44"/>
        </w:rPr>
      </w:pPr>
      <w:r>
        <w:rPr>
          <w:rFonts w:hint="eastAsia" w:ascii="黑体" w:hAnsi="黑体" w:eastAsia="宋体" w:cs="宋体"/>
          <w:color w:val="333333"/>
          <w:kern w:val="0"/>
          <w:sz w:val="44"/>
          <w:szCs w:val="44"/>
        </w:rPr>
        <w:t>上海證券交易所黃金交易型開放式證券</w:t>
      </w:r>
    </w:p>
    <w:p>
      <w:pPr>
        <w:widowControl/>
        <w:shd w:val="clear" w:color="auto" w:fill="FFFFFF"/>
        <w:ind w:left="1155" w:leftChars="550" w:firstLine="1320" w:firstLineChars="300"/>
        <w:jc w:val="left"/>
        <w:rPr>
          <w:rFonts w:hint="eastAsia" w:ascii="黑体" w:hAnsi="黑体" w:eastAsia="黑体" w:cs="宋体"/>
          <w:color w:val="333333"/>
          <w:kern w:val="0"/>
          <w:sz w:val="44"/>
          <w:szCs w:val="44"/>
        </w:rPr>
      </w:pPr>
      <w:r>
        <w:rPr>
          <w:rFonts w:hint="eastAsia" w:ascii="黑体" w:hAnsi="黑体" w:eastAsia="宋体" w:cs="宋体"/>
          <w:color w:val="333333"/>
          <w:kern w:val="0"/>
          <w:sz w:val="44"/>
          <w:szCs w:val="44"/>
        </w:rPr>
        <w:t>投</w:t>
      </w:r>
      <w:bookmarkStart w:id="18" w:name="_GoBack"/>
      <w:bookmarkEnd w:id="18"/>
      <w:r>
        <w:rPr>
          <w:rFonts w:hint="eastAsia" w:ascii="黑体" w:hAnsi="黑体" w:eastAsia="宋体" w:cs="宋体"/>
          <w:color w:val="333333"/>
          <w:kern w:val="0"/>
          <w:sz w:val="44"/>
          <w:szCs w:val="44"/>
        </w:rPr>
        <w:t>資基金業務指南</w:t>
      </w:r>
    </w:p>
    <w:p>
      <w:pPr>
        <w:widowControl/>
        <w:shd w:val="clear" w:color="auto" w:fill="FFFFFF"/>
        <w:ind w:left="1155" w:leftChars="550" w:firstLine="1540" w:firstLineChars="550"/>
        <w:jc w:val="left"/>
        <w:rPr>
          <w:rFonts w:hint="eastAsia" w:ascii="仿宋_GB2312" w:hAnsi="黑体" w:eastAsia="仿宋_GB2312" w:cs="宋体"/>
          <w:color w:val="333333"/>
          <w:kern w:val="0"/>
          <w:sz w:val="28"/>
          <w:szCs w:val="28"/>
        </w:rPr>
      </w:pPr>
      <w:r>
        <w:rPr>
          <w:rFonts w:hint="eastAsia" w:ascii="仿宋_GB2312" w:hAnsi="黑体" w:eastAsia="宋体" w:cs="宋体"/>
          <w:color w:val="333333"/>
          <w:kern w:val="0"/>
          <w:sz w:val="28"/>
          <w:szCs w:val="28"/>
        </w:rPr>
        <w:t>（2019年6月修訂）</w:t>
      </w:r>
    </w:p>
    <w:p>
      <w:pPr>
        <w:widowControl/>
        <w:shd w:val="clear" w:color="auto" w:fill="FFFFFF"/>
        <w:rPr>
          <w:rFonts w:ascii="微软雅黑" w:hAnsi="微软雅黑" w:eastAsia="微软雅黑" w:cs="宋体"/>
          <w:color w:val="333333"/>
          <w:kern w:val="0"/>
          <w:szCs w:val="21"/>
        </w:rPr>
      </w:pPr>
      <w:r>
        <w:rPr>
          <w:rFonts w:hint="eastAsia" w:ascii="仿宋_GB2312" w:hAnsi="宋体" w:eastAsia="宋体" w:cs="宋体"/>
          <w:b/>
          <w:bCs/>
          <w:color w:val="333333"/>
          <w:kern w:val="0"/>
          <w:sz w:val="32"/>
          <w:szCs w:val="32"/>
        </w:rPr>
        <w:t>一、產品概要</w:t>
      </w:r>
    </w:p>
    <w:p>
      <w:pPr>
        <w:widowControl/>
        <w:shd w:val="clear" w:color="auto" w:fill="FFFFFF"/>
        <w:spacing w:after="150" w:line="384" w:lineRule="auto"/>
        <w:rPr>
          <w:rFonts w:ascii="宋体" w:hAnsi="宋体" w:eastAsia="宋体" w:cs="宋体"/>
          <w:color w:val="4D4D4D"/>
          <w:kern w:val="0"/>
          <w:sz w:val="30"/>
          <w:szCs w:val="30"/>
        </w:rPr>
      </w:pPr>
      <w:r>
        <w:rPr>
          <w:rFonts w:ascii="宋体" w:hAnsi="宋体" w:eastAsia="宋体" w:cs="宋体"/>
          <w:color w:val="4D4D4D"/>
          <w:kern w:val="0"/>
          <w:sz w:val="28"/>
          <w:szCs w:val="28"/>
        </w:rPr>
        <w:t> </w:t>
      </w:r>
      <w:r>
        <w:rPr>
          <w:rFonts w:hint="eastAsia" w:ascii="仿宋_GB2312" w:hAnsi="宋体" w:eastAsia="宋体" w:cs="宋体"/>
          <w:color w:val="4D4D4D"/>
          <w:kern w:val="0"/>
          <w:sz w:val="28"/>
          <w:szCs w:val="28"/>
        </w:rPr>
        <w:t> </w:t>
      </w:r>
      <w:r>
        <w:rPr>
          <w:rFonts w:hint="eastAsia" w:ascii="仿宋_GB2312" w:hAnsi="宋体" w:eastAsia="宋体" w:cs="宋体"/>
          <w:color w:val="4D4D4D"/>
          <w:kern w:val="0"/>
          <w:sz w:val="30"/>
          <w:szCs w:val="30"/>
        </w:rPr>
        <w:t>本文所稱黃金交易型開放式證券投資基金（以下簡稱“黃金ETF”）是指由國內基金管理人發起設立的，追蹤國內黃金現貨價格，基礎資產為上海黃金交易所（以下簡稱“金交所”）的黃金現貨實盤合約（以下簡稱“黃金現貨合約”），並在上海證券交易所（以下簡稱“本所”）上市交易的ETF。</w:t>
      </w:r>
    </w:p>
    <w:p>
      <w:pPr>
        <w:widowControl/>
        <w:shd w:val="clear" w:color="auto" w:fill="FFFFFF"/>
        <w:spacing w:after="150" w:line="384" w:lineRule="auto"/>
        <w:ind w:firstLine="560"/>
        <w:rPr>
          <w:rFonts w:ascii="宋体" w:hAnsi="宋体" w:eastAsia="宋体" w:cs="宋体"/>
          <w:color w:val="4D4D4D"/>
          <w:kern w:val="0"/>
          <w:sz w:val="30"/>
          <w:szCs w:val="30"/>
        </w:rPr>
      </w:pPr>
      <w:r>
        <w:rPr>
          <w:rFonts w:hint="eastAsia" w:ascii="仿宋_GB2312" w:hAnsi="宋体" w:eastAsia="宋体" w:cs="宋体"/>
          <w:color w:val="4D4D4D"/>
          <w:kern w:val="0"/>
          <w:sz w:val="30"/>
          <w:szCs w:val="30"/>
        </w:rPr>
        <w:t>黃金ETF份額登記託管在中國登記結算公司上海分公司（以下簡稱“結算公司”），其基礎資產為黃金現貨合約，在金交所交易和登記。</w:t>
      </w:r>
    </w:p>
    <w:p>
      <w:pPr>
        <w:widowControl/>
        <w:shd w:val="clear" w:color="auto" w:fill="FFFFFF"/>
        <w:spacing w:after="150" w:line="384" w:lineRule="auto"/>
        <w:ind w:firstLine="560"/>
        <w:rPr>
          <w:rFonts w:ascii="宋体" w:hAnsi="宋体" w:eastAsia="宋体" w:cs="宋体"/>
          <w:color w:val="4D4D4D"/>
          <w:kern w:val="0"/>
          <w:sz w:val="30"/>
          <w:szCs w:val="30"/>
        </w:rPr>
      </w:pPr>
      <w:r>
        <w:rPr>
          <w:rFonts w:hint="eastAsia" w:ascii="仿宋_GB2312" w:hAnsi="宋体" w:eastAsia="宋体" w:cs="宋体"/>
          <w:color w:val="4D4D4D"/>
          <w:kern w:val="0"/>
          <w:sz w:val="30"/>
          <w:szCs w:val="30"/>
        </w:rPr>
        <w:t>黃金ETF的申購和贖回可採用現金申贖或黃金現貨合約申贖兩種模式。</w:t>
      </w:r>
    </w:p>
    <w:p>
      <w:pPr>
        <w:widowControl/>
        <w:shd w:val="clear" w:color="auto" w:fill="FFFFFF"/>
        <w:spacing w:after="150" w:line="384" w:lineRule="auto"/>
        <w:ind w:firstLine="560"/>
        <w:rPr>
          <w:rFonts w:ascii="宋体" w:hAnsi="宋体" w:eastAsia="宋体" w:cs="宋体"/>
          <w:color w:val="4D4D4D"/>
          <w:kern w:val="0"/>
          <w:sz w:val="30"/>
          <w:szCs w:val="30"/>
        </w:rPr>
      </w:pPr>
      <w:r>
        <w:rPr>
          <w:rFonts w:hint="eastAsia" w:ascii="仿宋_GB2312" w:hAnsi="宋体" w:eastAsia="宋体" w:cs="宋体"/>
          <w:color w:val="4D4D4D"/>
          <w:kern w:val="0"/>
          <w:sz w:val="30"/>
          <w:szCs w:val="30"/>
        </w:rPr>
        <w:t>採用現金申贖的，由基金管理人在金交所場內買賣黃金合約。黃金ETF在本所場內的現金申贖，申購份額在完成清算交收後T+1可用。當日買入的份額當日可以贖回，當日贖回的份額即時記減。申購和贖回業務所涉及現金替代、現金差額等均不納入淨額結算，其中，申購業務由結算公司按照T日逐筆全額方式清算交收，贖回業務由結算公司按代收代付清算交收。投資者提交申購申報的，基金管理人在完成資金交收後，買入黃金現貨合約；投資者提交贖回申報的，基金管理人賣出黃金現貨合約。</w:t>
      </w:r>
    </w:p>
    <w:p>
      <w:pPr>
        <w:widowControl/>
        <w:shd w:val="clear" w:color="auto" w:fill="FFFFFF"/>
        <w:spacing w:after="150" w:line="384" w:lineRule="auto"/>
        <w:ind w:firstLine="560"/>
        <w:rPr>
          <w:rFonts w:ascii="宋体" w:hAnsi="宋体" w:eastAsia="宋体" w:cs="宋体"/>
          <w:color w:val="4D4D4D"/>
          <w:kern w:val="0"/>
          <w:sz w:val="30"/>
          <w:szCs w:val="30"/>
        </w:rPr>
      </w:pPr>
      <w:r>
        <w:rPr>
          <w:rFonts w:hint="eastAsia" w:ascii="仿宋_GB2312" w:hAnsi="宋体" w:eastAsia="宋体" w:cs="宋体"/>
          <w:color w:val="4D4D4D"/>
          <w:kern w:val="0"/>
          <w:sz w:val="30"/>
          <w:szCs w:val="30"/>
        </w:rPr>
        <w:t>黃金現貨合約申贖是跨系統的申贖模式，只有同時具備上海證券市場證券帳戶（A股帳戶或基金帳戶）和金交所黃金帳戶的投資者才可參與黃金現貨合約申贖，黃金現貨合約申贖由本所、金交所和結算公司建立即時聯通的資訊通道提供支持。投資者申購獲得的基金份額及贖回獲得的黃金現貨合約即時可用，結算公司盤後根據本所發送的申贖數據完成份額變更登記。</w:t>
      </w:r>
    </w:p>
    <w:p>
      <w:pPr>
        <w:widowControl/>
        <w:shd w:val="clear" w:color="auto" w:fill="FFFFFF"/>
        <w:spacing w:before="100" w:beforeAutospacing="1" w:after="100" w:afterAutospacing="1" w:line="384" w:lineRule="auto"/>
        <w:ind w:firstLine="2400" w:firstLineChars="800"/>
        <w:rPr>
          <w:rFonts w:ascii="宋体" w:hAnsi="宋体" w:eastAsia="宋体" w:cs="宋体"/>
          <w:color w:val="4D4D4D"/>
          <w:kern w:val="0"/>
          <w:sz w:val="30"/>
          <w:szCs w:val="30"/>
        </w:rPr>
      </w:pPr>
      <w:r>
        <w:rPr>
          <w:rFonts w:hint="eastAsia" w:ascii="仿宋_GB2312" w:hAnsi="宋体" w:eastAsia="宋体" w:cs="宋体"/>
          <w:color w:val="4D4D4D"/>
          <w:kern w:val="0"/>
          <w:sz w:val="30"/>
          <w:szCs w:val="30"/>
        </w:rPr>
        <w:t>黃金ETF申贖模式對照表</w:t>
      </w:r>
    </w:p>
    <w:tbl>
      <w:tblPr>
        <w:tblStyle w:val="5"/>
        <w:tblW w:w="8295" w:type="dxa"/>
        <w:tblInd w:w="93" w:type="dxa"/>
        <w:tblLayout w:type="autofit"/>
        <w:tblCellMar>
          <w:top w:w="0" w:type="dxa"/>
          <w:left w:w="108" w:type="dxa"/>
          <w:bottom w:w="0" w:type="dxa"/>
          <w:right w:w="108" w:type="dxa"/>
        </w:tblCellMar>
      </w:tblPr>
      <w:tblGrid>
        <w:gridCol w:w="640"/>
        <w:gridCol w:w="2255"/>
        <w:gridCol w:w="3240"/>
        <w:gridCol w:w="2160"/>
      </w:tblGrid>
      <w:tr>
        <w:tblPrEx>
          <w:tblCellMar>
            <w:top w:w="0" w:type="dxa"/>
            <w:left w:w="108" w:type="dxa"/>
            <w:bottom w:w="0" w:type="dxa"/>
            <w:right w:w="108" w:type="dxa"/>
          </w:tblCellMar>
        </w:tblPrEx>
        <w:trPr>
          <w:trHeight w:val="945" w:hRule="atLeast"/>
        </w:trPr>
        <w:tc>
          <w:tcPr>
            <w:tcW w:w="2895"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before="100" w:beforeAutospacing="1" w:after="100" w:afterAutospacing="1" w:line="384" w:lineRule="auto"/>
              <w:ind w:firstLine="420" w:firstLineChars="200"/>
              <w:rPr>
                <w:rFonts w:ascii="宋体" w:hAnsi="宋体" w:eastAsia="宋体" w:cs="宋体"/>
                <w:color w:val="4D4D4D"/>
                <w:kern w:val="0"/>
                <w:szCs w:val="21"/>
              </w:rPr>
            </w:pPr>
            <w:r>
              <w:rPr>
                <w:rFonts w:hint="eastAsia" w:ascii="仿宋_GB2312" w:hAnsi="宋体" w:eastAsia="宋体" w:cs="宋体"/>
                <w:color w:val="4D4D4D"/>
                <w:kern w:val="0"/>
                <w:szCs w:val="21"/>
              </w:rPr>
              <w:t>申贖模式</w:t>
            </w:r>
          </w:p>
        </w:tc>
        <w:tc>
          <w:tcPr>
            <w:tcW w:w="3240" w:type="dxa"/>
            <w:tcBorders>
              <w:top w:val="single" w:color="auto" w:sz="8" w:space="0"/>
              <w:left w:val="nil"/>
              <w:bottom w:val="single" w:color="auto" w:sz="8" w:space="0"/>
              <w:right w:val="single" w:color="auto" w:sz="8" w:space="0"/>
            </w:tcBorders>
            <w:shd w:val="clear" w:color="auto" w:fill="auto"/>
            <w:vAlign w:val="center"/>
          </w:tcPr>
          <w:p>
            <w:pPr>
              <w:widowControl/>
              <w:spacing w:after="150" w:line="384" w:lineRule="auto"/>
              <w:ind w:hanging="10"/>
              <w:rPr>
                <w:rFonts w:ascii="宋体" w:hAnsi="宋体" w:eastAsia="宋体" w:cs="宋体"/>
                <w:color w:val="4D4D4D"/>
                <w:kern w:val="0"/>
                <w:szCs w:val="21"/>
              </w:rPr>
            </w:pPr>
            <w:r>
              <w:rPr>
                <w:rFonts w:hint="eastAsia" w:ascii="仿宋_GB2312" w:hAnsi="宋体" w:eastAsia="宋体" w:cs="宋体"/>
                <w:color w:val="4D4D4D"/>
                <w:kern w:val="0"/>
                <w:szCs w:val="21"/>
              </w:rPr>
              <w:t>黃金現貨合約申贖</w:t>
            </w:r>
          </w:p>
        </w:tc>
        <w:tc>
          <w:tcPr>
            <w:tcW w:w="2160" w:type="dxa"/>
            <w:tcBorders>
              <w:top w:val="single" w:color="auto" w:sz="8" w:space="0"/>
              <w:left w:val="nil"/>
              <w:bottom w:val="single" w:color="auto" w:sz="8" w:space="0"/>
              <w:right w:val="single" w:color="auto" w:sz="8" w:space="0"/>
            </w:tcBorders>
            <w:shd w:val="clear" w:color="auto" w:fill="auto"/>
            <w:vAlign w:val="center"/>
          </w:tcPr>
          <w:p>
            <w:pPr>
              <w:widowControl/>
              <w:spacing w:after="150" w:line="384" w:lineRule="auto"/>
              <w:ind w:hanging="10"/>
              <w:rPr>
                <w:rFonts w:ascii="宋体" w:hAnsi="宋体" w:eastAsia="宋体" w:cs="宋体"/>
                <w:color w:val="4D4D4D"/>
                <w:kern w:val="0"/>
                <w:szCs w:val="21"/>
              </w:rPr>
            </w:pPr>
            <w:r>
              <w:rPr>
                <w:rFonts w:hint="eastAsia" w:ascii="仿宋_GB2312" w:hAnsi="宋体" w:eastAsia="宋体" w:cs="宋体"/>
                <w:color w:val="4D4D4D"/>
                <w:kern w:val="0"/>
                <w:szCs w:val="21"/>
              </w:rPr>
              <w:t>現金申贖</w:t>
            </w:r>
          </w:p>
        </w:tc>
      </w:tr>
      <w:tr>
        <w:tblPrEx>
          <w:tblCellMar>
            <w:top w:w="0" w:type="dxa"/>
            <w:left w:w="108" w:type="dxa"/>
            <w:bottom w:w="0" w:type="dxa"/>
            <w:right w:w="108" w:type="dxa"/>
          </w:tblCellMar>
        </w:tblPrEx>
        <w:trPr>
          <w:trHeight w:val="720" w:hRule="atLeast"/>
        </w:trPr>
        <w:tc>
          <w:tcPr>
            <w:tcW w:w="640" w:type="dxa"/>
            <w:vMerge w:val="restart"/>
            <w:tcBorders>
              <w:top w:val="nil"/>
              <w:left w:val="single" w:color="auto" w:sz="8" w:space="0"/>
              <w:bottom w:val="single" w:color="auto" w:sz="8" w:space="0"/>
              <w:right w:val="single" w:color="auto" w:sz="8" w:space="0"/>
            </w:tcBorders>
            <w:shd w:val="clear" w:color="auto" w:fill="auto"/>
            <w:vAlign w:val="center"/>
          </w:tcPr>
          <w:p>
            <w:pPr>
              <w:widowControl/>
              <w:spacing w:after="150" w:line="384" w:lineRule="auto"/>
              <w:rPr>
                <w:rFonts w:ascii="宋体" w:hAnsi="宋体" w:eastAsia="宋体" w:cs="宋体"/>
                <w:color w:val="4D4D4D"/>
                <w:kern w:val="0"/>
                <w:szCs w:val="21"/>
              </w:rPr>
            </w:pPr>
            <w:r>
              <w:rPr>
                <w:rFonts w:hint="eastAsia" w:ascii="仿宋_GB2312" w:hAnsi="宋体" w:eastAsia="宋体" w:cs="宋体"/>
                <w:color w:val="4D4D4D"/>
                <w:kern w:val="0"/>
                <w:szCs w:val="21"/>
              </w:rPr>
              <w:t>申購效率</w:t>
            </w:r>
          </w:p>
        </w:tc>
        <w:tc>
          <w:tcPr>
            <w:tcW w:w="2255"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line="384" w:lineRule="auto"/>
              <w:ind w:firstLine="420" w:firstLineChars="200"/>
              <w:rPr>
                <w:rFonts w:ascii="宋体" w:hAnsi="宋体" w:eastAsia="宋体" w:cs="宋体"/>
                <w:color w:val="4D4D4D"/>
                <w:kern w:val="0"/>
                <w:szCs w:val="21"/>
              </w:rPr>
            </w:pPr>
            <w:r>
              <w:rPr>
                <w:rFonts w:hint="eastAsia" w:ascii="仿宋_GB2312" w:hAnsi="宋体" w:eastAsia="宋体" w:cs="宋体"/>
                <w:color w:val="4D4D4D"/>
                <w:kern w:val="0"/>
                <w:szCs w:val="21"/>
              </w:rPr>
              <w:t>申購份額可用日</w:t>
            </w:r>
          </w:p>
        </w:tc>
        <w:tc>
          <w:tcPr>
            <w:tcW w:w="3240" w:type="dxa"/>
            <w:tcBorders>
              <w:top w:val="nil"/>
              <w:left w:val="nil"/>
              <w:bottom w:val="single" w:color="auto" w:sz="4" w:space="0"/>
              <w:right w:val="single" w:color="auto" w:sz="4" w:space="0"/>
            </w:tcBorders>
            <w:shd w:val="clear" w:color="auto" w:fill="auto"/>
            <w:vAlign w:val="center"/>
          </w:tcPr>
          <w:p>
            <w:pPr>
              <w:widowControl/>
              <w:spacing w:after="150" w:line="384" w:lineRule="auto"/>
              <w:ind w:hanging="10"/>
              <w:rPr>
                <w:rFonts w:ascii="宋体" w:hAnsi="宋体" w:eastAsia="宋体" w:cs="宋体"/>
                <w:color w:val="4D4D4D"/>
                <w:kern w:val="0"/>
                <w:szCs w:val="21"/>
              </w:rPr>
            </w:pPr>
            <w:r>
              <w:rPr>
                <w:rFonts w:hint="eastAsia" w:ascii="仿宋_GB2312" w:hAnsi="宋体" w:eastAsia="宋体" w:cs="宋体"/>
                <w:color w:val="4D4D4D"/>
                <w:kern w:val="0"/>
                <w:szCs w:val="21"/>
              </w:rPr>
              <w:t>T日可賣，</w:t>
            </w:r>
          </w:p>
          <w:p>
            <w:pPr>
              <w:widowControl/>
              <w:spacing w:after="150" w:line="384" w:lineRule="auto"/>
              <w:ind w:hanging="10"/>
              <w:rPr>
                <w:rFonts w:ascii="宋体" w:hAnsi="宋体" w:eastAsia="宋体" w:cs="宋体"/>
                <w:color w:val="4D4D4D"/>
                <w:kern w:val="0"/>
                <w:szCs w:val="21"/>
              </w:rPr>
            </w:pPr>
            <w:r>
              <w:rPr>
                <w:rFonts w:hint="eastAsia" w:ascii="仿宋_GB2312" w:hAnsi="宋体" w:eastAsia="宋体" w:cs="宋体"/>
                <w:color w:val="4D4D4D"/>
                <w:kern w:val="0"/>
                <w:szCs w:val="21"/>
              </w:rPr>
              <w:t>T日可贖回</w:t>
            </w:r>
          </w:p>
        </w:tc>
        <w:tc>
          <w:tcPr>
            <w:tcW w:w="2160" w:type="dxa"/>
            <w:tcBorders>
              <w:top w:val="nil"/>
              <w:left w:val="nil"/>
              <w:bottom w:val="single" w:color="auto" w:sz="4" w:space="0"/>
              <w:right w:val="single" w:color="auto" w:sz="4" w:space="0"/>
            </w:tcBorders>
            <w:shd w:val="clear" w:color="auto" w:fill="auto"/>
            <w:vAlign w:val="center"/>
          </w:tcPr>
          <w:p>
            <w:pPr>
              <w:widowControl/>
              <w:spacing w:after="150" w:line="384" w:lineRule="auto"/>
              <w:ind w:hanging="10"/>
              <w:rPr>
                <w:rFonts w:ascii="宋体" w:hAnsi="宋体" w:eastAsia="宋体" w:cs="宋体"/>
                <w:color w:val="4D4D4D"/>
                <w:kern w:val="0"/>
                <w:szCs w:val="21"/>
              </w:rPr>
            </w:pPr>
            <w:r>
              <w:rPr>
                <w:rFonts w:hint="eastAsia" w:ascii="仿宋_GB2312" w:hAnsi="宋体" w:eastAsia="宋体" w:cs="宋体"/>
                <w:color w:val="4D4D4D"/>
                <w:kern w:val="0"/>
                <w:szCs w:val="21"/>
              </w:rPr>
              <w:t>T+1日可賣（完成清算交收後），T+1日可贖回（完成清算交收後）</w:t>
            </w:r>
          </w:p>
        </w:tc>
      </w:tr>
      <w:tr>
        <w:tblPrEx>
          <w:tblCellMar>
            <w:top w:w="0" w:type="dxa"/>
            <w:left w:w="108" w:type="dxa"/>
            <w:bottom w:w="0" w:type="dxa"/>
            <w:right w:w="108" w:type="dxa"/>
          </w:tblCellMar>
        </w:tblPrEx>
        <w:trPr>
          <w:trHeight w:val="600" w:hRule="atLeast"/>
        </w:trPr>
        <w:tc>
          <w:tcPr>
            <w:tcW w:w="0" w:type="auto"/>
            <w:vMerge w:val="continue"/>
            <w:tcBorders>
              <w:top w:val="nil"/>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color w:val="4D4D4D"/>
                <w:kern w:val="0"/>
                <w:szCs w:val="21"/>
              </w:rPr>
            </w:pPr>
          </w:p>
        </w:tc>
        <w:tc>
          <w:tcPr>
            <w:tcW w:w="2255"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line="384" w:lineRule="auto"/>
              <w:ind w:firstLine="420" w:firstLineChars="200"/>
              <w:rPr>
                <w:rFonts w:ascii="宋体" w:hAnsi="宋体" w:eastAsia="宋体" w:cs="宋体"/>
                <w:color w:val="4D4D4D"/>
                <w:kern w:val="0"/>
                <w:szCs w:val="21"/>
              </w:rPr>
            </w:pPr>
            <w:r>
              <w:rPr>
                <w:rFonts w:hint="eastAsia" w:ascii="仿宋_GB2312" w:hAnsi="宋体" w:eastAsia="宋体" w:cs="宋体"/>
                <w:color w:val="4D4D4D"/>
                <w:kern w:val="0"/>
                <w:szCs w:val="21"/>
              </w:rPr>
              <w:t>申購份額登記日</w:t>
            </w:r>
          </w:p>
        </w:tc>
        <w:tc>
          <w:tcPr>
            <w:tcW w:w="3240"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line="384" w:lineRule="auto"/>
              <w:ind w:leftChars="-5" w:hanging="10" w:hangingChars="5"/>
              <w:rPr>
                <w:rFonts w:ascii="宋体" w:hAnsi="宋体" w:eastAsia="宋体" w:cs="宋体"/>
                <w:color w:val="4D4D4D"/>
                <w:kern w:val="0"/>
                <w:szCs w:val="21"/>
              </w:rPr>
            </w:pPr>
            <w:r>
              <w:rPr>
                <w:rFonts w:hint="eastAsia" w:ascii="仿宋_GB2312" w:hAnsi="宋体" w:eastAsia="宋体" w:cs="宋体"/>
                <w:i/>
                <w:iCs/>
                <w:color w:val="4D4D4D"/>
                <w:kern w:val="0"/>
                <w:szCs w:val="21"/>
              </w:rPr>
              <w:t>T日</w:t>
            </w:r>
          </w:p>
        </w:tc>
        <w:tc>
          <w:tcPr>
            <w:tcW w:w="2160"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line="384" w:lineRule="auto"/>
              <w:ind w:leftChars="-5" w:hanging="10" w:hangingChars="5"/>
              <w:rPr>
                <w:rFonts w:ascii="宋体" w:hAnsi="宋体" w:eastAsia="宋体" w:cs="宋体"/>
                <w:color w:val="4D4D4D"/>
                <w:kern w:val="0"/>
                <w:szCs w:val="21"/>
              </w:rPr>
            </w:pPr>
            <w:r>
              <w:rPr>
                <w:rFonts w:hint="eastAsia" w:ascii="仿宋_GB2312" w:hAnsi="宋体" w:eastAsia="宋体" w:cs="宋体"/>
                <w:color w:val="4D4D4D"/>
                <w:kern w:val="0"/>
                <w:szCs w:val="21"/>
              </w:rPr>
              <w:t>T日</w:t>
            </w:r>
          </w:p>
        </w:tc>
      </w:tr>
      <w:tr>
        <w:tblPrEx>
          <w:tblCellMar>
            <w:top w:w="0" w:type="dxa"/>
            <w:left w:w="108" w:type="dxa"/>
            <w:bottom w:w="0" w:type="dxa"/>
            <w:right w:w="108" w:type="dxa"/>
          </w:tblCellMar>
        </w:tblPrEx>
        <w:trPr>
          <w:trHeight w:val="645" w:hRule="atLeast"/>
        </w:trPr>
        <w:tc>
          <w:tcPr>
            <w:tcW w:w="0" w:type="auto"/>
            <w:vMerge w:val="continue"/>
            <w:tcBorders>
              <w:top w:val="nil"/>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color w:val="4D4D4D"/>
                <w:kern w:val="0"/>
                <w:szCs w:val="21"/>
              </w:rPr>
            </w:pPr>
          </w:p>
        </w:tc>
        <w:tc>
          <w:tcPr>
            <w:tcW w:w="2255"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line="384" w:lineRule="auto"/>
              <w:ind w:firstLine="420" w:firstLineChars="200"/>
              <w:rPr>
                <w:rFonts w:ascii="宋体" w:hAnsi="宋体" w:eastAsia="宋体" w:cs="宋体"/>
                <w:color w:val="4D4D4D"/>
                <w:kern w:val="0"/>
                <w:szCs w:val="21"/>
              </w:rPr>
            </w:pPr>
            <w:r>
              <w:rPr>
                <w:rFonts w:hint="eastAsia" w:ascii="仿宋_GB2312" w:hAnsi="宋体" w:eastAsia="宋体" w:cs="宋体"/>
                <w:color w:val="4D4D4D"/>
                <w:kern w:val="0"/>
                <w:szCs w:val="21"/>
              </w:rPr>
              <w:t>代理買入合約日</w:t>
            </w:r>
          </w:p>
        </w:tc>
        <w:tc>
          <w:tcPr>
            <w:tcW w:w="3240"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line="384" w:lineRule="auto"/>
              <w:ind w:leftChars="-5" w:hanging="10" w:hangingChars="5"/>
              <w:rPr>
                <w:rFonts w:ascii="宋体" w:hAnsi="宋体" w:eastAsia="宋体" w:cs="宋体"/>
                <w:color w:val="4D4D4D"/>
                <w:kern w:val="0"/>
                <w:szCs w:val="21"/>
              </w:rPr>
            </w:pPr>
            <w:r>
              <w:rPr>
                <w:rFonts w:hint="eastAsia" w:ascii="仿宋_GB2312" w:hAnsi="宋体" w:eastAsia="宋体" w:cs="宋体"/>
                <w:i/>
                <w:iCs/>
                <w:color w:val="4D4D4D"/>
                <w:kern w:val="0"/>
                <w:szCs w:val="21"/>
              </w:rPr>
              <w:t>N/A</w:t>
            </w:r>
          </w:p>
        </w:tc>
        <w:tc>
          <w:tcPr>
            <w:tcW w:w="2160"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line="384" w:lineRule="auto"/>
              <w:ind w:leftChars="-5" w:hanging="10" w:hangingChars="5"/>
              <w:rPr>
                <w:rFonts w:ascii="宋体" w:hAnsi="宋体" w:eastAsia="宋体" w:cs="宋体"/>
                <w:color w:val="4D4D4D"/>
                <w:kern w:val="0"/>
                <w:szCs w:val="21"/>
              </w:rPr>
            </w:pPr>
            <w:r>
              <w:rPr>
                <w:rFonts w:hint="eastAsia" w:ascii="仿宋_GB2312" w:hAnsi="宋体" w:eastAsia="宋体" w:cs="宋体"/>
                <w:i/>
                <w:iCs/>
                <w:color w:val="4D4D4D"/>
                <w:kern w:val="0"/>
                <w:szCs w:val="21"/>
              </w:rPr>
              <w:t>最快在T+1日，以基金公司具體約定為准</w:t>
            </w:r>
          </w:p>
        </w:tc>
      </w:tr>
      <w:tr>
        <w:tblPrEx>
          <w:tblCellMar>
            <w:top w:w="0" w:type="dxa"/>
            <w:left w:w="108" w:type="dxa"/>
            <w:bottom w:w="0" w:type="dxa"/>
            <w:right w:w="108" w:type="dxa"/>
          </w:tblCellMar>
        </w:tblPrEx>
        <w:trPr>
          <w:trHeight w:val="960" w:hRule="atLeast"/>
        </w:trPr>
        <w:tc>
          <w:tcPr>
            <w:tcW w:w="0" w:type="auto"/>
            <w:vMerge w:val="continue"/>
            <w:tcBorders>
              <w:top w:val="nil"/>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color w:val="4D4D4D"/>
                <w:kern w:val="0"/>
                <w:szCs w:val="21"/>
              </w:rPr>
            </w:pPr>
          </w:p>
        </w:tc>
        <w:tc>
          <w:tcPr>
            <w:tcW w:w="2255"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line="384" w:lineRule="auto"/>
              <w:ind w:firstLine="420" w:firstLineChars="200"/>
              <w:rPr>
                <w:rFonts w:ascii="宋体" w:hAnsi="宋体" w:eastAsia="宋体" w:cs="宋体"/>
                <w:color w:val="4D4D4D"/>
                <w:kern w:val="0"/>
                <w:szCs w:val="21"/>
              </w:rPr>
            </w:pPr>
            <w:r>
              <w:rPr>
                <w:rFonts w:hint="eastAsia" w:ascii="仿宋_GB2312" w:hAnsi="宋体" w:eastAsia="宋体" w:cs="宋体"/>
                <w:color w:val="4D4D4D"/>
                <w:kern w:val="0"/>
                <w:szCs w:val="21"/>
              </w:rPr>
              <w:t>清算交收模式</w:t>
            </w:r>
          </w:p>
        </w:tc>
        <w:tc>
          <w:tcPr>
            <w:tcW w:w="3240" w:type="dxa"/>
            <w:tcBorders>
              <w:top w:val="nil"/>
              <w:left w:val="nil"/>
              <w:bottom w:val="single" w:color="auto" w:sz="4" w:space="0"/>
              <w:right w:val="single" w:color="auto" w:sz="4" w:space="0"/>
            </w:tcBorders>
            <w:shd w:val="clear" w:color="auto" w:fill="auto"/>
            <w:vAlign w:val="center"/>
          </w:tcPr>
          <w:p>
            <w:pPr>
              <w:widowControl/>
              <w:spacing w:after="150" w:line="384" w:lineRule="auto"/>
              <w:ind w:hanging="10"/>
              <w:rPr>
                <w:rFonts w:ascii="宋体" w:hAnsi="宋体" w:eastAsia="宋体" w:cs="宋体"/>
                <w:color w:val="4D4D4D"/>
                <w:kern w:val="0"/>
                <w:szCs w:val="21"/>
              </w:rPr>
            </w:pPr>
            <w:r>
              <w:rPr>
                <w:rFonts w:hint="eastAsia" w:ascii="仿宋_GB2312" w:hAnsi="宋体" w:eastAsia="宋体" w:cs="宋体"/>
                <w:color w:val="4D4D4D"/>
                <w:kern w:val="0"/>
                <w:szCs w:val="21"/>
              </w:rPr>
              <w:t>結算公司根據本所數據做份額變更登記，資金清算交收由金交所完成</w:t>
            </w:r>
          </w:p>
        </w:tc>
        <w:tc>
          <w:tcPr>
            <w:tcW w:w="2160" w:type="dxa"/>
            <w:tcBorders>
              <w:top w:val="nil"/>
              <w:left w:val="nil"/>
              <w:bottom w:val="single" w:color="auto" w:sz="4" w:space="0"/>
              <w:right w:val="single" w:color="auto" w:sz="4" w:space="0"/>
            </w:tcBorders>
            <w:shd w:val="clear" w:color="auto" w:fill="auto"/>
            <w:vAlign w:val="center"/>
          </w:tcPr>
          <w:p>
            <w:pPr>
              <w:widowControl/>
              <w:spacing w:after="150" w:line="384" w:lineRule="auto"/>
              <w:ind w:hanging="10"/>
              <w:rPr>
                <w:rFonts w:ascii="宋体" w:hAnsi="宋体" w:eastAsia="宋体" w:cs="宋体"/>
                <w:color w:val="4D4D4D"/>
                <w:kern w:val="0"/>
                <w:szCs w:val="21"/>
              </w:rPr>
            </w:pPr>
            <w:r>
              <w:rPr>
                <w:rFonts w:hint="eastAsia" w:ascii="仿宋_GB2312" w:hAnsi="宋体" w:eastAsia="宋体" w:cs="宋体"/>
                <w:color w:val="4D4D4D"/>
                <w:kern w:val="0"/>
                <w:szCs w:val="21"/>
              </w:rPr>
              <w:t>結算公司盤後逐筆全額清算交收</w:t>
            </w:r>
          </w:p>
        </w:tc>
      </w:tr>
      <w:tr>
        <w:tblPrEx>
          <w:tblCellMar>
            <w:top w:w="0" w:type="dxa"/>
            <w:left w:w="108" w:type="dxa"/>
            <w:bottom w:w="0" w:type="dxa"/>
            <w:right w:w="108" w:type="dxa"/>
          </w:tblCellMar>
        </w:tblPrEx>
        <w:trPr>
          <w:trHeight w:val="480" w:hRule="atLeast"/>
        </w:trPr>
        <w:tc>
          <w:tcPr>
            <w:tcW w:w="640" w:type="dxa"/>
            <w:vMerge w:val="restart"/>
            <w:tcBorders>
              <w:top w:val="nil"/>
              <w:left w:val="single" w:color="auto" w:sz="8" w:space="0"/>
              <w:bottom w:val="single" w:color="auto" w:sz="8" w:space="0"/>
              <w:right w:val="single" w:color="auto" w:sz="8" w:space="0"/>
            </w:tcBorders>
            <w:shd w:val="clear" w:color="auto" w:fill="auto"/>
            <w:vAlign w:val="center"/>
          </w:tcPr>
          <w:p>
            <w:pPr>
              <w:widowControl/>
              <w:spacing w:after="150" w:line="384" w:lineRule="auto"/>
              <w:rPr>
                <w:rFonts w:ascii="宋体" w:hAnsi="宋体" w:eastAsia="宋体" w:cs="宋体"/>
                <w:color w:val="4D4D4D"/>
                <w:kern w:val="0"/>
                <w:szCs w:val="21"/>
              </w:rPr>
            </w:pPr>
            <w:r>
              <w:rPr>
                <w:rFonts w:hint="eastAsia" w:ascii="仿宋_GB2312" w:hAnsi="宋体" w:eastAsia="宋体" w:cs="宋体"/>
                <w:color w:val="4D4D4D"/>
                <w:kern w:val="0"/>
                <w:szCs w:val="21"/>
              </w:rPr>
              <w:t>贖回效率</w:t>
            </w:r>
          </w:p>
        </w:tc>
        <w:tc>
          <w:tcPr>
            <w:tcW w:w="2255" w:type="dxa"/>
            <w:tcBorders>
              <w:top w:val="nil"/>
              <w:left w:val="nil"/>
              <w:bottom w:val="nil"/>
              <w:right w:val="single" w:color="auto" w:sz="8" w:space="0"/>
            </w:tcBorders>
            <w:shd w:val="clear" w:color="auto" w:fill="auto"/>
            <w:vAlign w:val="center"/>
          </w:tcPr>
          <w:p>
            <w:pPr>
              <w:widowControl/>
              <w:spacing w:before="100" w:beforeAutospacing="1" w:after="100" w:afterAutospacing="1" w:line="384" w:lineRule="auto"/>
              <w:ind w:firstLine="420" w:firstLineChars="200"/>
              <w:rPr>
                <w:rFonts w:ascii="宋体" w:hAnsi="宋体" w:eastAsia="宋体" w:cs="宋体"/>
                <w:color w:val="4D4D4D"/>
                <w:kern w:val="0"/>
                <w:szCs w:val="21"/>
              </w:rPr>
            </w:pPr>
            <w:r>
              <w:rPr>
                <w:rFonts w:hint="eastAsia" w:ascii="仿宋_GB2312" w:hAnsi="宋体" w:eastAsia="宋体" w:cs="宋体"/>
                <w:color w:val="4D4D4D"/>
                <w:kern w:val="0"/>
                <w:szCs w:val="21"/>
              </w:rPr>
              <w:t>贖回合約可用日</w:t>
            </w:r>
          </w:p>
        </w:tc>
        <w:tc>
          <w:tcPr>
            <w:tcW w:w="3240" w:type="dxa"/>
            <w:tcBorders>
              <w:top w:val="nil"/>
              <w:left w:val="nil"/>
              <w:bottom w:val="single" w:color="auto" w:sz="4" w:space="0"/>
              <w:right w:val="single" w:color="auto" w:sz="4" w:space="0"/>
            </w:tcBorders>
            <w:shd w:val="clear" w:color="auto" w:fill="auto"/>
            <w:vAlign w:val="center"/>
          </w:tcPr>
          <w:p>
            <w:pPr>
              <w:widowControl/>
              <w:spacing w:after="150" w:line="384" w:lineRule="auto"/>
              <w:ind w:hanging="10"/>
              <w:rPr>
                <w:rFonts w:ascii="宋体" w:hAnsi="宋体" w:eastAsia="宋体" w:cs="宋体"/>
                <w:color w:val="4D4D4D"/>
                <w:kern w:val="0"/>
                <w:szCs w:val="21"/>
              </w:rPr>
            </w:pPr>
            <w:r>
              <w:rPr>
                <w:rFonts w:hint="eastAsia" w:ascii="仿宋_GB2312" w:hAnsi="宋体" w:eastAsia="宋体" w:cs="宋体"/>
                <w:color w:val="4D4D4D"/>
                <w:kern w:val="0"/>
                <w:szCs w:val="21"/>
              </w:rPr>
              <w:t>黃金現貨合約T日可賣，贖回的黃金現貨合約T日可用於申購(具體以金交所相關業務規則為准)</w:t>
            </w:r>
          </w:p>
        </w:tc>
        <w:tc>
          <w:tcPr>
            <w:tcW w:w="2160" w:type="dxa"/>
            <w:tcBorders>
              <w:top w:val="nil"/>
              <w:left w:val="nil"/>
              <w:bottom w:val="single" w:color="auto" w:sz="4" w:space="0"/>
              <w:right w:val="single" w:color="auto" w:sz="4" w:space="0"/>
            </w:tcBorders>
            <w:shd w:val="clear" w:color="auto" w:fill="auto"/>
            <w:vAlign w:val="center"/>
          </w:tcPr>
          <w:p>
            <w:pPr>
              <w:widowControl/>
              <w:spacing w:after="150" w:line="384" w:lineRule="auto"/>
              <w:ind w:hanging="10"/>
              <w:rPr>
                <w:rFonts w:ascii="宋体" w:hAnsi="宋体" w:eastAsia="宋体" w:cs="宋体"/>
                <w:color w:val="4D4D4D"/>
                <w:kern w:val="0"/>
                <w:szCs w:val="21"/>
              </w:rPr>
            </w:pPr>
            <w:r>
              <w:rPr>
                <w:rFonts w:hint="eastAsia" w:ascii="仿宋_GB2312" w:hAnsi="宋体" w:eastAsia="宋体" w:cs="宋体"/>
                <w:i/>
                <w:iCs/>
                <w:color w:val="FF0000"/>
                <w:kern w:val="0"/>
                <w:szCs w:val="21"/>
              </w:rPr>
              <w:t>N/A</w:t>
            </w:r>
          </w:p>
        </w:tc>
      </w:tr>
      <w:tr>
        <w:tblPrEx>
          <w:tblCellMar>
            <w:top w:w="0" w:type="dxa"/>
            <w:left w:w="108" w:type="dxa"/>
            <w:bottom w:w="0" w:type="dxa"/>
            <w:right w:w="108" w:type="dxa"/>
          </w:tblCellMar>
        </w:tblPrEx>
        <w:trPr>
          <w:trHeight w:val="825" w:hRule="atLeast"/>
        </w:trPr>
        <w:tc>
          <w:tcPr>
            <w:tcW w:w="0" w:type="auto"/>
            <w:vMerge w:val="continue"/>
            <w:tcBorders>
              <w:top w:val="nil"/>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color w:val="4D4D4D"/>
                <w:kern w:val="0"/>
                <w:szCs w:val="21"/>
              </w:rPr>
            </w:pPr>
          </w:p>
        </w:tc>
        <w:tc>
          <w:tcPr>
            <w:tcW w:w="2255" w:type="dxa"/>
            <w:tcBorders>
              <w:top w:val="single" w:color="auto" w:sz="8" w:space="0"/>
              <w:left w:val="nil"/>
              <w:bottom w:val="single" w:color="auto" w:sz="8" w:space="0"/>
              <w:right w:val="single" w:color="auto" w:sz="8" w:space="0"/>
            </w:tcBorders>
            <w:shd w:val="clear" w:color="auto" w:fill="auto"/>
            <w:vAlign w:val="center"/>
          </w:tcPr>
          <w:p>
            <w:pPr>
              <w:widowControl/>
              <w:spacing w:before="100" w:beforeAutospacing="1" w:after="100" w:afterAutospacing="1" w:line="384" w:lineRule="auto"/>
              <w:ind w:firstLine="420" w:firstLineChars="200"/>
              <w:rPr>
                <w:rFonts w:ascii="宋体" w:hAnsi="宋体" w:eastAsia="宋体" w:cs="宋体"/>
                <w:color w:val="4D4D4D"/>
                <w:kern w:val="0"/>
                <w:szCs w:val="21"/>
              </w:rPr>
            </w:pPr>
            <w:r>
              <w:rPr>
                <w:rFonts w:hint="eastAsia" w:ascii="仿宋_GB2312" w:hAnsi="宋体" w:eastAsia="宋体" w:cs="宋体"/>
                <w:color w:val="4D4D4D"/>
                <w:kern w:val="0"/>
                <w:szCs w:val="21"/>
              </w:rPr>
              <w:t>代理賣出合約日</w:t>
            </w:r>
          </w:p>
        </w:tc>
        <w:tc>
          <w:tcPr>
            <w:tcW w:w="3240"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line="384" w:lineRule="auto"/>
              <w:ind w:leftChars="-5" w:hanging="10" w:hangingChars="5"/>
              <w:rPr>
                <w:rFonts w:ascii="宋体" w:hAnsi="宋体" w:eastAsia="宋体" w:cs="宋体"/>
                <w:color w:val="4D4D4D"/>
                <w:kern w:val="0"/>
                <w:szCs w:val="21"/>
              </w:rPr>
            </w:pPr>
            <w:r>
              <w:rPr>
                <w:rFonts w:hint="eastAsia" w:ascii="仿宋_GB2312" w:hAnsi="宋体" w:eastAsia="宋体" w:cs="宋体"/>
                <w:i/>
                <w:iCs/>
                <w:color w:val="FF0000"/>
                <w:kern w:val="0"/>
                <w:szCs w:val="21"/>
              </w:rPr>
              <w:t>N/A</w:t>
            </w:r>
          </w:p>
        </w:tc>
        <w:tc>
          <w:tcPr>
            <w:tcW w:w="2160"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line="384" w:lineRule="auto"/>
              <w:ind w:leftChars="-5" w:hanging="10" w:hangingChars="5"/>
              <w:rPr>
                <w:rFonts w:ascii="宋体" w:hAnsi="宋体" w:eastAsia="宋体" w:cs="宋体"/>
                <w:color w:val="4D4D4D"/>
                <w:kern w:val="0"/>
                <w:szCs w:val="21"/>
              </w:rPr>
            </w:pPr>
            <w:r>
              <w:rPr>
                <w:rFonts w:hint="eastAsia" w:ascii="仿宋_GB2312" w:hAnsi="宋体" w:eastAsia="宋体" w:cs="宋体"/>
                <w:i/>
                <w:iCs/>
                <w:color w:val="4D4D4D"/>
                <w:kern w:val="0"/>
                <w:szCs w:val="21"/>
              </w:rPr>
              <w:t>最快在T日，以基金公司具體約定為准</w:t>
            </w:r>
          </w:p>
        </w:tc>
      </w:tr>
      <w:tr>
        <w:tblPrEx>
          <w:tblCellMar>
            <w:top w:w="0" w:type="dxa"/>
            <w:left w:w="108" w:type="dxa"/>
            <w:bottom w:w="0" w:type="dxa"/>
            <w:right w:w="108" w:type="dxa"/>
          </w:tblCellMar>
        </w:tblPrEx>
        <w:trPr>
          <w:trHeight w:val="825" w:hRule="atLeast"/>
        </w:trPr>
        <w:tc>
          <w:tcPr>
            <w:tcW w:w="0" w:type="auto"/>
            <w:vMerge w:val="continue"/>
            <w:tcBorders>
              <w:top w:val="nil"/>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color w:val="4D4D4D"/>
                <w:kern w:val="0"/>
                <w:szCs w:val="21"/>
              </w:rPr>
            </w:pPr>
          </w:p>
        </w:tc>
        <w:tc>
          <w:tcPr>
            <w:tcW w:w="2255" w:type="dxa"/>
            <w:tcBorders>
              <w:top w:val="single" w:color="auto" w:sz="4" w:space="0"/>
              <w:left w:val="nil"/>
              <w:bottom w:val="single" w:color="auto" w:sz="4" w:space="0"/>
              <w:right w:val="single" w:color="auto" w:sz="4" w:space="0"/>
            </w:tcBorders>
            <w:shd w:val="clear" w:color="auto" w:fill="auto"/>
            <w:vAlign w:val="center"/>
          </w:tcPr>
          <w:p>
            <w:pPr>
              <w:widowControl/>
              <w:spacing w:before="100" w:beforeAutospacing="1" w:after="100" w:afterAutospacing="1" w:line="384" w:lineRule="auto"/>
              <w:ind w:firstLine="420" w:firstLineChars="200"/>
              <w:rPr>
                <w:rFonts w:ascii="宋体" w:hAnsi="宋体" w:eastAsia="宋体" w:cs="宋体"/>
                <w:color w:val="4D4D4D"/>
                <w:kern w:val="0"/>
                <w:szCs w:val="21"/>
              </w:rPr>
            </w:pPr>
            <w:r>
              <w:rPr>
                <w:rFonts w:hint="eastAsia" w:ascii="仿宋_GB2312" w:hAnsi="宋体" w:eastAsia="宋体" w:cs="宋体"/>
                <w:color w:val="4D4D4D"/>
                <w:kern w:val="0"/>
                <w:szCs w:val="21"/>
              </w:rPr>
              <w:t>贖回資金可用日</w:t>
            </w:r>
          </w:p>
        </w:tc>
        <w:tc>
          <w:tcPr>
            <w:tcW w:w="3240"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line="384" w:lineRule="auto"/>
              <w:ind w:leftChars="-5" w:hanging="10" w:hangingChars="5"/>
              <w:rPr>
                <w:rFonts w:ascii="宋体" w:hAnsi="宋体" w:eastAsia="宋体" w:cs="宋体"/>
                <w:color w:val="4D4D4D"/>
                <w:kern w:val="0"/>
                <w:szCs w:val="21"/>
              </w:rPr>
            </w:pPr>
            <w:r>
              <w:rPr>
                <w:rFonts w:hint="eastAsia" w:ascii="仿宋_GB2312" w:hAnsi="宋体" w:eastAsia="宋体" w:cs="宋体"/>
                <w:i/>
                <w:iCs/>
                <w:color w:val="FF0000"/>
                <w:kern w:val="0"/>
                <w:szCs w:val="21"/>
              </w:rPr>
              <w:t>N/A</w:t>
            </w:r>
          </w:p>
        </w:tc>
        <w:tc>
          <w:tcPr>
            <w:tcW w:w="2160"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line="384" w:lineRule="auto"/>
              <w:ind w:leftChars="-5" w:hanging="10" w:hangingChars="5"/>
              <w:rPr>
                <w:rFonts w:ascii="宋体" w:hAnsi="宋体" w:eastAsia="宋体" w:cs="宋体"/>
                <w:color w:val="4D4D4D"/>
                <w:kern w:val="0"/>
                <w:szCs w:val="21"/>
              </w:rPr>
            </w:pPr>
            <w:r>
              <w:rPr>
                <w:rFonts w:hint="eastAsia" w:ascii="仿宋_GB2312" w:hAnsi="宋体" w:eastAsia="宋体" w:cs="宋体"/>
                <w:i/>
                <w:iCs/>
                <w:color w:val="4D4D4D"/>
                <w:kern w:val="0"/>
                <w:szCs w:val="21"/>
              </w:rPr>
              <w:t>一般在T+1日之後，以基金公司具體約定為准</w:t>
            </w:r>
          </w:p>
        </w:tc>
      </w:tr>
      <w:tr>
        <w:tblPrEx>
          <w:tblCellMar>
            <w:top w:w="0" w:type="dxa"/>
            <w:left w:w="108" w:type="dxa"/>
            <w:bottom w:w="0" w:type="dxa"/>
            <w:right w:w="108" w:type="dxa"/>
          </w:tblCellMar>
        </w:tblPrEx>
        <w:trPr>
          <w:trHeight w:val="720" w:hRule="atLeast"/>
        </w:trPr>
        <w:tc>
          <w:tcPr>
            <w:tcW w:w="0" w:type="auto"/>
            <w:vMerge w:val="continue"/>
            <w:tcBorders>
              <w:top w:val="nil"/>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color w:val="4D4D4D"/>
                <w:kern w:val="0"/>
                <w:szCs w:val="21"/>
              </w:rPr>
            </w:pPr>
          </w:p>
        </w:tc>
        <w:tc>
          <w:tcPr>
            <w:tcW w:w="2255"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line="384" w:lineRule="auto"/>
              <w:ind w:firstLine="420" w:firstLineChars="200"/>
              <w:rPr>
                <w:rFonts w:ascii="宋体" w:hAnsi="宋体" w:eastAsia="宋体" w:cs="宋体"/>
                <w:color w:val="4D4D4D"/>
                <w:kern w:val="0"/>
                <w:szCs w:val="21"/>
              </w:rPr>
            </w:pPr>
            <w:r>
              <w:rPr>
                <w:rFonts w:hint="eastAsia" w:ascii="仿宋_GB2312" w:hAnsi="宋体" w:eastAsia="宋体" w:cs="宋体"/>
                <w:color w:val="4D4D4D"/>
                <w:kern w:val="0"/>
                <w:szCs w:val="21"/>
              </w:rPr>
              <w:t>份額記減日</w:t>
            </w:r>
          </w:p>
        </w:tc>
        <w:tc>
          <w:tcPr>
            <w:tcW w:w="3240"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line="384" w:lineRule="auto"/>
              <w:ind w:leftChars="-5" w:hanging="10" w:hangingChars="5"/>
              <w:rPr>
                <w:rFonts w:ascii="宋体" w:hAnsi="宋体" w:eastAsia="宋体" w:cs="宋体"/>
                <w:color w:val="4D4D4D"/>
                <w:kern w:val="0"/>
                <w:szCs w:val="21"/>
              </w:rPr>
            </w:pPr>
            <w:r>
              <w:rPr>
                <w:rFonts w:hint="eastAsia" w:ascii="仿宋_GB2312" w:hAnsi="宋体" w:eastAsia="宋体" w:cs="宋体"/>
                <w:color w:val="4D4D4D"/>
                <w:kern w:val="0"/>
                <w:szCs w:val="21"/>
              </w:rPr>
              <w:t>T日盤中交易系統記減可用額；T日盤後註銷份額</w:t>
            </w:r>
          </w:p>
        </w:tc>
        <w:tc>
          <w:tcPr>
            <w:tcW w:w="2160"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line="384" w:lineRule="auto"/>
              <w:ind w:leftChars="-5" w:hanging="10" w:hangingChars="5"/>
              <w:rPr>
                <w:rFonts w:ascii="宋体" w:hAnsi="宋体" w:eastAsia="宋体" w:cs="宋体"/>
                <w:color w:val="4D4D4D"/>
                <w:kern w:val="0"/>
                <w:szCs w:val="21"/>
              </w:rPr>
            </w:pPr>
            <w:r>
              <w:rPr>
                <w:rFonts w:hint="eastAsia" w:ascii="仿宋_GB2312" w:hAnsi="宋体" w:eastAsia="宋体" w:cs="宋体"/>
                <w:color w:val="4D4D4D"/>
                <w:kern w:val="0"/>
                <w:szCs w:val="21"/>
              </w:rPr>
              <w:t>T日盤中交易系統記減可用額；T日盤後結算公司註銷份額</w:t>
            </w:r>
          </w:p>
        </w:tc>
      </w:tr>
      <w:tr>
        <w:tblPrEx>
          <w:tblCellMar>
            <w:top w:w="0" w:type="dxa"/>
            <w:left w:w="108" w:type="dxa"/>
            <w:bottom w:w="0" w:type="dxa"/>
            <w:right w:w="108" w:type="dxa"/>
          </w:tblCellMar>
        </w:tblPrEx>
        <w:trPr>
          <w:trHeight w:val="960" w:hRule="atLeast"/>
        </w:trPr>
        <w:tc>
          <w:tcPr>
            <w:tcW w:w="0" w:type="auto"/>
            <w:vMerge w:val="continue"/>
            <w:tcBorders>
              <w:top w:val="nil"/>
              <w:left w:val="single" w:color="auto" w:sz="8" w:space="0"/>
              <w:bottom w:val="single" w:color="auto" w:sz="8" w:space="0"/>
              <w:right w:val="single" w:color="auto" w:sz="8" w:space="0"/>
            </w:tcBorders>
            <w:shd w:val="clear" w:color="auto" w:fill="auto"/>
            <w:vAlign w:val="center"/>
          </w:tcPr>
          <w:p>
            <w:pPr>
              <w:widowControl/>
              <w:rPr>
                <w:rFonts w:ascii="宋体" w:hAnsi="宋体" w:eastAsia="宋体" w:cs="宋体"/>
                <w:color w:val="4D4D4D"/>
                <w:kern w:val="0"/>
                <w:szCs w:val="21"/>
              </w:rPr>
            </w:pPr>
          </w:p>
        </w:tc>
        <w:tc>
          <w:tcPr>
            <w:tcW w:w="2255"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line="384" w:lineRule="auto"/>
              <w:ind w:firstLine="420" w:firstLineChars="200"/>
              <w:rPr>
                <w:rFonts w:ascii="宋体" w:hAnsi="宋体" w:eastAsia="宋体" w:cs="宋体"/>
                <w:color w:val="4D4D4D"/>
                <w:kern w:val="0"/>
                <w:szCs w:val="21"/>
              </w:rPr>
            </w:pPr>
            <w:r>
              <w:rPr>
                <w:rFonts w:hint="eastAsia" w:ascii="仿宋_GB2312" w:hAnsi="宋体" w:eastAsia="宋体" w:cs="宋体"/>
                <w:color w:val="4D4D4D"/>
                <w:kern w:val="0"/>
                <w:szCs w:val="21"/>
              </w:rPr>
              <w:t>清算交收模式</w:t>
            </w:r>
          </w:p>
        </w:tc>
        <w:tc>
          <w:tcPr>
            <w:tcW w:w="3240"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line="384" w:lineRule="auto"/>
              <w:ind w:leftChars="-5" w:hanging="10" w:hangingChars="5"/>
              <w:rPr>
                <w:rFonts w:ascii="宋体" w:hAnsi="宋体" w:eastAsia="宋体" w:cs="宋体"/>
                <w:color w:val="4D4D4D"/>
                <w:kern w:val="0"/>
                <w:szCs w:val="21"/>
              </w:rPr>
            </w:pPr>
            <w:r>
              <w:rPr>
                <w:rFonts w:hint="eastAsia" w:ascii="仿宋_GB2312" w:hAnsi="宋体" w:eastAsia="宋体" w:cs="宋体"/>
                <w:color w:val="4D4D4D"/>
                <w:kern w:val="0"/>
                <w:szCs w:val="21"/>
              </w:rPr>
              <w:t>結算公司根據本所數據做份額變更登記，資金清算交收由金交所完成</w:t>
            </w:r>
          </w:p>
        </w:tc>
        <w:tc>
          <w:tcPr>
            <w:tcW w:w="2160"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line="384" w:lineRule="auto"/>
              <w:ind w:leftChars="-5" w:hanging="10" w:hangingChars="5"/>
              <w:rPr>
                <w:rFonts w:ascii="宋体" w:hAnsi="宋体" w:eastAsia="宋体" w:cs="宋体"/>
                <w:color w:val="4D4D4D"/>
                <w:kern w:val="0"/>
                <w:szCs w:val="21"/>
              </w:rPr>
            </w:pPr>
            <w:r>
              <w:rPr>
                <w:rFonts w:hint="eastAsia" w:ascii="仿宋_GB2312" w:hAnsi="宋体" w:eastAsia="宋体" w:cs="宋体"/>
                <w:color w:val="4D4D4D"/>
                <w:kern w:val="0"/>
                <w:szCs w:val="21"/>
              </w:rPr>
              <w:t>結算公司根據本所數據做份額變更登記，對贖回資金提供代收付服務</w:t>
            </w:r>
          </w:p>
        </w:tc>
      </w:tr>
    </w:tbl>
    <w:p>
      <w:pPr>
        <w:widowControl/>
        <w:shd w:val="clear" w:color="auto" w:fill="FFFFFF"/>
        <w:spacing w:after="150" w:line="384" w:lineRule="auto"/>
        <w:rPr>
          <w:rFonts w:ascii="宋体" w:hAnsi="宋体" w:eastAsia="宋体" w:cs="宋体"/>
          <w:color w:val="4D4D4D"/>
          <w:kern w:val="0"/>
          <w:szCs w:val="21"/>
        </w:rPr>
      </w:pPr>
      <w:bookmarkStart w:id="0" w:name="_Toc291855379"/>
      <w:bookmarkEnd w:id="0"/>
      <w:bookmarkStart w:id="1" w:name="_Toc338410899"/>
      <w:bookmarkEnd w:id="1"/>
      <w:bookmarkStart w:id="2" w:name="_Toc347163304"/>
      <w:bookmarkEnd w:id="2"/>
    </w:p>
    <w:p>
      <w:pPr>
        <w:widowControl/>
        <w:shd w:val="clear" w:color="auto" w:fill="FFFFFF"/>
        <w:rPr>
          <w:rFonts w:ascii="仿宋_GB2312" w:hAnsi="宋体" w:eastAsia="仿宋_GB2312" w:cs="宋体"/>
          <w:b/>
          <w:bCs/>
          <w:color w:val="333333"/>
          <w:kern w:val="0"/>
          <w:sz w:val="32"/>
          <w:szCs w:val="32"/>
        </w:rPr>
      </w:pPr>
      <w:r>
        <w:rPr>
          <w:rFonts w:hint="eastAsia" w:ascii="仿宋_GB2312" w:hAnsi="宋体" w:eastAsia="宋体" w:cs="宋体"/>
          <w:b/>
          <w:bCs/>
          <w:color w:val="333333"/>
          <w:kern w:val="0"/>
          <w:sz w:val="32"/>
          <w:szCs w:val="32"/>
        </w:rPr>
        <w:t>二、證券帳戶</w:t>
      </w:r>
    </w:p>
    <w:p>
      <w:pPr>
        <w:widowControl/>
        <w:shd w:val="clear" w:color="auto" w:fill="FFFFFF"/>
        <w:spacing w:after="150" w:line="384" w:lineRule="auto"/>
        <w:ind w:firstLine="560"/>
        <w:rPr>
          <w:rFonts w:ascii="宋体" w:hAnsi="宋体" w:eastAsia="宋体" w:cs="宋体"/>
          <w:color w:val="4D4D4D"/>
          <w:kern w:val="0"/>
          <w:sz w:val="30"/>
          <w:szCs w:val="30"/>
        </w:rPr>
      </w:pPr>
      <w:bookmarkStart w:id="3" w:name="_Toc291855380"/>
      <w:bookmarkEnd w:id="3"/>
      <w:bookmarkStart w:id="4" w:name="_Toc338410900"/>
      <w:bookmarkEnd w:id="4"/>
      <w:r>
        <w:rPr>
          <w:rFonts w:hint="eastAsia" w:ascii="仿宋_GB2312" w:hAnsi="宋体" w:eastAsia="宋体" w:cs="宋体"/>
          <w:color w:val="4D4D4D"/>
          <w:kern w:val="0"/>
          <w:sz w:val="30"/>
          <w:szCs w:val="30"/>
        </w:rPr>
        <w:t>投資者參與黃金ETF的現金申贖和二級市場交易，僅需具備上海證券市場A股帳戶或基金帳戶。投資者參與黃金ETF黃金現貨合約申贖，需同時具備上海證券市場證券帳戶和金交所黃金帳戶。參與黃金現貨合約申贖的投資者，應事先將其證券帳戶、交易單元和在金交所的黃金帳戶、意向參與的黃金ETF品種等資訊在基金管理人處備案。基金管理人應分別向金交所和結算公司申請驗證帳戶有效性，對投資者的黃金帳戶和證券帳戶進行綁定，並將確認後的投資者帳戶備案資訊發送給金交所。</w:t>
      </w:r>
    </w:p>
    <w:p>
      <w:pPr>
        <w:widowControl/>
        <w:shd w:val="clear" w:color="auto" w:fill="FFFFFF"/>
        <w:rPr>
          <w:rFonts w:ascii="仿宋_GB2312" w:hAnsi="宋体" w:eastAsia="仿宋_GB2312" w:cs="宋体"/>
          <w:b/>
          <w:bCs/>
          <w:color w:val="333333"/>
          <w:kern w:val="0"/>
          <w:sz w:val="32"/>
          <w:szCs w:val="32"/>
        </w:rPr>
      </w:pPr>
      <w:r>
        <w:rPr>
          <w:rFonts w:hint="eastAsia" w:ascii="仿宋_GB2312" w:hAnsi="宋体" w:eastAsia="宋体" w:cs="宋体"/>
          <w:b/>
          <w:bCs/>
          <w:color w:val="333333"/>
          <w:kern w:val="0"/>
          <w:sz w:val="32"/>
          <w:szCs w:val="32"/>
        </w:rPr>
        <w:t>三、市場參與者</w:t>
      </w:r>
    </w:p>
    <w:p>
      <w:pPr>
        <w:widowControl/>
        <w:shd w:val="clear" w:color="auto" w:fill="FFFFFF"/>
        <w:spacing w:after="150" w:line="384" w:lineRule="auto"/>
        <w:ind w:firstLine="560"/>
        <w:rPr>
          <w:rFonts w:ascii="宋体" w:hAnsi="宋体" w:eastAsia="宋体" w:cs="宋体"/>
          <w:color w:val="4D4D4D"/>
          <w:kern w:val="0"/>
          <w:sz w:val="30"/>
          <w:szCs w:val="30"/>
        </w:rPr>
      </w:pPr>
      <w:r>
        <w:rPr>
          <w:rFonts w:hint="eastAsia" w:ascii="仿宋_GB2312" w:hAnsi="宋体" w:eastAsia="宋体" w:cs="宋体"/>
          <w:color w:val="4D4D4D"/>
          <w:kern w:val="0"/>
          <w:sz w:val="30"/>
          <w:szCs w:val="30"/>
        </w:rPr>
        <w:t>黃金ETF現金申贖和二級市場交易的參與者與現有單市場ETF參與者基本相同，主要包括券商、基金、個人投資者及保險公司、財務公司等機構投資者。代銷機構及參與者業務單元的管理模式與現有ETF相同。</w:t>
      </w:r>
    </w:p>
    <w:p>
      <w:pPr>
        <w:widowControl/>
        <w:shd w:val="clear" w:color="auto" w:fill="FFFFFF"/>
        <w:spacing w:after="150" w:line="384" w:lineRule="auto"/>
        <w:ind w:firstLine="560"/>
        <w:rPr>
          <w:rFonts w:hint="eastAsia" w:ascii="宋体" w:hAnsi="宋体" w:eastAsia="宋体" w:cs="宋体"/>
          <w:color w:val="4D4D4D"/>
          <w:kern w:val="0"/>
          <w:szCs w:val="21"/>
        </w:rPr>
      </w:pPr>
      <w:r>
        <w:rPr>
          <w:rFonts w:hint="eastAsia" w:ascii="仿宋_GB2312" w:hAnsi="宋体" w:eastAsia="宋体" w:cs="宋体"/>
          <w:color w:val="4D4D4D"/>
          <w:kern w:val="0"/>
          <w:sz w:val="30"/>
          <w:szCs w:val="30"/>
        </w:rPr>
        <w:t>黃金ETF黃金現貨合約申贖的參與者需同時開設證券帳戶和黃金帳戶，並完成帳戶資訊備案後，才能使用黃金現貨合約進行黃金ETF的申購和贖回。參與者主要包括金交所會員及其代理客戶。</w:t>
      </w:r>
    </w:p>
    <w:p>
      <w:pPr>
        <w:widowControl/>
        <w:shd w:val="clear" w:color="auto" w:fill="FFFFFF"/>
        <w:rPr>
          <w:rFonts w:ascii="仿宋_GB2312" w:hAnsi="宋体" w:eastAsia="仿宋_GB2312" w:cs="宋体"/>
          <w:b/>
          <w:bCs/>
          <w:color w:val="333333"/>
          <w:kern w:val="0"/>
          <w:sz w:val="32"/>
          <w:szCs w:val="32"/>
        </w:rPr>
      </w:pPr>
      <w:r>
        <w:rPr>
          <w:rFonts w:hint="eastAsia" w:ascii="仿宋_GB2312" w:hAnsi="宋体" w:eastAsia="宋体" w:cs="宋体"/>
          <w:b/>
          <w:bCs/>
          <w:color w:val="333333"/>
          <w:kern w:val="0"/>
          <w:sz w:val="32"/>
          <w:szCs w:val="32"/>
        </w:rPr>
        <w:t>四、發售</w:t>
      </w:r>
    </w:p>
    <w:p>
      <w:pPr>
        <w:widowControl/>
        <w:shd w:val="clear" w:color="auto" w:fill="FFFFFF"/>
        <w:spacing w:after="150" w:line="384" w:lineRule="auto"/>
        <w:ind w:firstLine="560"/>
        <w:rPr>
          <w:rFonts w:ascii="宋体" w:hAnsi="宋体" w:eastAsia="宋体" w:cs="宋体"/>
          <w:color w:val="4D4D4D"/>
          <w:kern w:val="0"/>
          <w:sz w:val="30"/>
          <w:szCs w:val="30"/>
        </w:rPr>
      </w:pPr>
      <w:bookmarkStart w:id="5" w:name="_Toc338410902"/>
      <w:bookmarkEnd w:id="5"/>
      <w:bookmarkStart w:id="6" w:name="_Toc291855382"/>
      <w:bookmarkEnd w:id="6"/>
      <w:r>
        <w:rPr>
          <w:rFonts w:hint="eastAsia" w:ascii="仿宋_GB2312" w:hAnsi="宋体" w:eastAsia="宋体" w:cs="宋体"/>
          <w:color w:val="4D4D4D"/>
          <w:kern w:val="0"/>
          <w:sz w:val="30"/>
          <w:szCs w:val="30"/>
        </w:rPr>
        <w:t>黃金ETF在發行管道上包括場內現金認購、場外現金認購和場外黃金合約認購。</w:t>
      </w:r>
    </w:p>
    <w:p>
      <w:pPr>
        <w:widowControl/>
        <w:shd w:val="clear" w:color="auto" w:fill="FFFFFF"/>
        <w:spacing w:after="150" w:line="384" w:lineRule="auto"/>
        <w:ind w:firstLine="560"/>
        <w:rPr>
          <w:rFonts w:ascii="宋体" w:hAnsi="宋体" w:eastAsia="宋体" w:cs="宋体"/>
          <w:color w:val="4D4D4D"/>
          <w:kern w:val="0"/>
          <w:sz w:val="30"/>
          <w:szCs w:val="30"/>
        </w:rPr>
      </w:pPr>
      <w:r>
        <w:rPr>
          <w:rFonts w:hint="eastAsia" w:ascii="仿宋_GB2312" w:hAnsi="宋体" w:eastAsia="宋体" w:cs="宋体"/>
          <w:color w:val="4D4D4D"/>
          <w:kern w:val="0"/>
          <w:sz w:val="30"/>
          <w:szCs w:val="30"/>
        </w:rPr>
        <w:t>場內現金認購與單市場ETF發行方式類似，場內現金認購可採用單日發行或多日發行，採用份額認購方式，單一帳戶每筆認購份額須為1000份或其整數倍，最高不得超過99,999,000份。投資人可多次認購，累計認購份額不設上限。</w:t>
      </w:r>
    </w:p>
    <w:p>
      <w:pPr>
        <w:widowControl/>
        <w:shd w:val="clear" w:color="auto" w:fill="FFFFFF"/>
        <w:spacing w:after="150" w:line="384" w:lineRule="auto"/>
        <w:ind w:firstLine="560"/>
        <w:rPr>
          <w:rFonts w:ascii="宋体" w:hAnsi="宋体" w:eastAsia="宋体" w:cs="宋体"/>
          <w:color w:val="4D4D4D"/>
          <w:kern w:val="0"/>
          <w:sz w:val="30"/>
          <w:szCs w:val="30"/>
        </w:rPr>
      </w:pPr>
      <w:r>
        <w:rPr>
          <w:rFonts w:hint="eastAsia" w:ascii="仿宋_GB2312" w:hAnsi="宋体" w:eastAsia="宋体" w:cs="宋体"/>
          <w:color w:val="4D4D4D"/>
          <w:kern w:val="0"/>
          <w:sz w:val="30"/>
          <w:szCs w:val="30"/>
        </w:rPr>
        <w:t>通過發售代理機構提交的網下現金認購申請,由該發售代理機構凍結相應的認購資金。各發售代理機構將每個投資人帳戶提交的網下現金認購申請匯總後,在網上現金認購階段通過本所交易系統，代該投資人提交網上現金認購申請。</w:t>
      </w:r>
    </w:p>
    <w:p>
      <w:pPr>
        <w:widowControl/>
        <w:shd w:val="clear" w:color="auto" w:fill="FFFFFF"/>
        <w:spacing w:after="150" w:line="384" w:lineRule="auto"/>
        <w:ind w:firstLine="560"/>
        <w:rPr>
          <w:rFonts w:ascii="宋体" w:hAnsi="宋体" w:eastAsia="宋体" w:cs="宋体"/>
          <w:color w:val="4D4D4D"/>
          <w:kern w:val="0"/>
          <w:sz w:val="30"/>
          <w:szCs w:val="30"/>
        </w:rPr>
      </w:pPr>
      <w:r>
        <w:rPr>
          <w:rFonts w:hint="eastAsia" w:ascii="仿宋_GB2312" w:hAnsi="宋体" w:eastAsia="宋体" w:cs="宋体"/>
          <w:color w:val="4D4D4D"/>
          <w:kern w:val="0"/>
          <w:sz w:val="30"/>
          <w:szCs w:val="30"/>
        </w:rPr>
        <w:t>場外黃金現貨合約認購前須事先將其證券帳戶、交易單元和在金交所的黃金帳戶、意向參與的黃金ETF品種等資訊在基金管理人處備案。場外黃金現貨合約認購期結束後，基金管理人向結算公司提交現貨合約認購數據，結算公司根據基金管理人提供的份額登記申請和上述過戶數據，進行ETF份額的初始登記。</w:t>
      </w:r>
    </w:p>
    <w:p>
      <w:pPr>
        <w:widowControl/>
        <w:shd w:val="clear" w:color="auto" w:fill="FFFFFF"/>
        <w:rPr>
          <w:rFonts w:ascii="仿宋_GB2312" w:hAnsi="宋体" w:eastAsia="仿宋_GB2312" w:cs="宋体"/>
          <w:b/>
          <w:bCs/>
          <w:color w:val="333333"/>
          <w:kern w:val="0"/>
          <w:sz w:val="32"/>
          <w:szCs w:val="32"/>
        </w:rPr>
      </w:pPr>
      <w:r>
        <w:rPr>
          <w:rFonts w:hint="eastAsia" w:ascii="仿宋_GB2312" w:hAnsi="宋体" w:eastAsia="宋体" w:cs="宋体"/>
          <w:b/>
          <w:bCs/>
          <w:color w:val="333333"/>
          <w:kern w:val="0"/>
          <w:sz w:val="32"/>
          <w:szCs w:val="32"/>
        </w:rPr>
        <w:t>五、 二級市場交易</w:t>
      </w:r>
    </w:p>
    <w:p>
      <w:pPr>
        <w:widowControl/>
        <w:shd w:val="clear" w:color="auto" w:fill="FFFFFF"/>
        <w:spacing w:after="150" w:line="384" w:lineRule="auto"/>
        <w:ind w:firstLine="560"/>
        <w:rPr>
          <w:rFonts w:ascii="宋体" w:hAnsi="宋体" w:eastAsia="宋体" w:cs="宋体"/>
          <w:color w:val="4D4D4D"/>
          <w:kern w:val="0"/>
          <w:sz w:val="30"/>
          <w:szCs w:val="30"/>
        </w:rPr>
      </w:pPr>
      <w:r>
        <w:rPr>
          <w:rFonts w:hint="eastAsia" w:ascii="仿宋_GB2312" w:hAnsi="宋体" w:eastAsia="宋体" w:cs="宋体"/>
          <w:color w:val="4D4D4D"/>
          <w:kern w:val="0"/>
          <w:sz w:val="30"/>
          <w:szCs w:val="30"/>
        </w:rPr>
        <w:t>本所為黃金ETF開設的代碼段為518***，發行、申贖、交易相關的代碼分配規則與單市場股票ETF相同。</w:t>
      </w:r>
    </w:p>
    <w:p>
      <w:pPr>
        <w:widowControl/>
        <w:shd w:val="clear" w:color="auto" w:fill="FFFFFF"/>
        <w:spacing w:after="150" w:line="384" w:lineRule="auto"/>
        <w:ind w:firstLine="560"/>
        <w:rPr>
          <w:rFonts w:ascii="宋体" w:hAnsi="宋体" w:eastAsia="宋体" w:cs="宋体"/>
          <w:color w:val="4D4D4D"/>
          <w:kern w:val="0"/>
          <w:sz w:val="30"/>
          <w:szCs w:val="30"/>
        </w:rPr>
      </w:pPr>
      <w:r>
        <w:rPr>
          <w:rFonts w:hint="eastAsia" w:ascii="仿宋_GB2312" w:hAnsi="宋体" w:eastAsia="宋体" w:cs="宋体"/>
          <w:color w:val="4D4D4D"/>
          <w:kern w:val="0"/>
          <w:sz w:val="30"/>
          <w:szCs w:val="30"/>
        </w:rPr>
        <w:t>二級市場交易基本要素如下：</w:t>
      </w:r>
    </w:p>
    <w:p>
      <w:pPr>
        <w:widowControl/>
        <w:shd w:val="clear" w:color="auto" w:fill="FFFFFF"/>
        <w:spacing w:after="150" w:line="384" w:lineRule="auto"/>
        <w:ind w:firstLine="560"/>
        <w:rPr>
          <w:rFonts w:ascii="宋体" w:hAnsi="宋体" w:eastAsia="宋体" w:cs="宋体"/>
          <w:color w:val="4D4D4D"/>
          <w:kern w:val="0"/>
          <w:sz w:val="30"/>
          <w:szCs w:val="30"/>
        </w:rPr>
      </w:pPr>
      <w:r>
        <w:rPr>
          <w:rFonts w:hint="eastAsia" w:ascii="仿宋_GB2312" w:hAnsi="宋体" w:eastAsia="宋体" w:cs="宋体"/>
          <w:color w:val="4D4D4D"/>
          <w:kern w:val="0"/>
          <w:sz w:val="30"/>
          <w:szCs w:val="30"/>
        </w:rPr>
        <w:t>1）當日買入的基金份額當日可以賣出；</w:t>
      </w:r>
    </w:p>
    <w:p>
      <w:pPr>
        <w:widowControl/>
        <w:shd w:val="clear" w:color="auto" w:fill="FFFFFF"/>
        <w:spacing w:after="150" w:line="384" w:lineRule="auto"/>
        <w:ind w:firstLine="560"/>
        <w:rPr>
          <w:rFonts w:ascii="宋体" w:hAnsi="宋体" w:eastAsia="宋体" w:cs="宋体"/>
          <w:color w:val="4D4D4D"/>
          <w:kern w:val="0"/>
          <w:sz w:val="30"/>
          <w:szCs w:val="30"/>
        </w:rPr>
      </w:pPr>
      <w:r>
        <w:rPr>
          <w:rFonts w:hint="eastAsia" w:ascii="仿宋_GB2312" w:hAnsi="宋体" w:eastAsia="宋体" w:cs="宋体"/>
          <w:color w:val="4D4D4D"/>
          <w:kern w:val="0"/>
          <w:sz w:val="30"/>
          <w:szCs w:val="30"/>
        </w:rPr>
        <w:t>2）當日買入的黃金ETF份額，當日可以現金贖回，但不可用於黃金現貨合約贖回；</w:t>
      </w:r>
    </w:p>
    <w:p>
      <w:pPr>
        <w:widowControl/>
        <w:shd w:val="clear" w:color="auto" w:fill="FFFFFF"/>
        <w:spacing w:after="150" w:line="384" w:lineRule="auto"/>
        <w:ind w:firstLine="560"/>
        <w:rPr>
          <w:rFonts w:ascii="宋体" w:hAnsi="宋体" w:eastAsia="宋体" w:cs="宋体"/>
          <w:color w:val="4D4D4D"/>
          <w:kern w:val="0"/>
          <w:sz w:val="30"/>
          <w:szCs w:val="30"/>
        </w:rPr>
      </w:pPr>
      <w:r>
        <w:rPr>
          <w:rFonts w:hint="eastAsia" w:ascii="仿宋_GB2312" w:hAnsi="宋体" w:eastAsia="宋体" w:cs="宋体"/>
          <w:color w:val="4D4D4D"/>
          <w:kern w:val="0"/>
          <w:sz w:val="30"/>
          <w:szCs w:val="30"/>
        </w:rPr>
        <w:t>3）申報價格最小變動單位為0.001元；</w:t>
      </w:r>
    </w:p>
    <w:p>
      <w:pPr>
        <w:widowControl/>
        <w:shd w:val="clear" w:color="auto" w:fill="FFFFFF"/>
        <w:spacing w:after="150" w:line="384" w:lineRule="auto"/>
        <w:ind w:firstLine="560"/>
        <w:rPr>
          <w:rFonts w:ascii="宋体" w:hAnsi="宋体" w:eastAsia="宋体" w:cs="宋体"/>
          <w:color w:val="4D4D4D"/>
          <w:kern w:val="0"/>
          <w:sz w:val="30"/>
          <w:szCs w:val="30"/>
        </w:rPr>
      </w:pPr>
      <w:r>
        <w:rPr>
          <w:rFonts w:hint="eastAsia" w:ascii="仿宋_GB2312" w:hAnsi="宋体" w:eastAsia="宋体" w:cs="宋体"/>
          <w:color w:val="4D4D4D"/>
          <w:kern w:val="0"/>
          <w:sz w:val="30"/>
          <w:szCs w:val="30"/>
        </w:rPr>
        <w:t>4）買入申報數量為100份或其整數倍，不足100份的部分可以賣出；</w:t>
      </w:r>
    </w:p>
    <w:p>
      <w:pPr>
        <w:widowControl/>
        <w:shd w:val="clear" w:color="auto" w:fill="FFFFFF"/>
        <w:spacing w:after="150" w:line="384" w:lineRule="auto"/>
        <w:ind w:firstLine="560"/>
        <w:rPr>
          <w:rFonts w:ascii="宋体" w:hAnsi="宋体" w:eastAsia="宋体" w:cs="宋体"/>
          <w:color w:val="4D4D4D"/>
          <w:kern w:val="0"/>
          <w:sz w:val="30"/>
          <w:szCs w:val="30"/>
        </w:rPr>
      </w:pPr>
      <w:r>
        <w:rPr>
          <w:rFonts w:hint="eastAsia" w:ascii="仿宋_GB2312" w:hAnsi="宋体" w:eastAsia="宋体" w:cs="宋体"/>
          <w:color w:val="4D4D4D"/>
          <w:kern w:val="0"/>
          <w:sz w:val="30"/>
          <w:szCs w:val="30"/>
        </w:rPr>
        <w:t>5）漲跌幅限制為10%；</w:t>
      </w:r>
    </w:p>
    <w:p>
      <w:pPr>
        <w:widowControl/>
        <w:shd w:val="clear" w:color="auto" w:fill="FFFFFF"/>
        <w:spacing w:after="150" w:line="384" w:lineRule="auto"/>
        <w:ind w:firstLine="560"/>
        <w:rPr>
          <w:rFonts w:ascii="宋体" w:hAnsi="宋体" w:eastAsia="宋体" w:cs="宋体"/>
          <w:color w:val="4D4D4D"/>
          <w:kern w:val="0"/>
          <w:sz w:val="30"/>
          <w:szCs w:val="30"/>
        </w:rPr>
      </w:pPr>
      <w:r>
        <w:rPr>
          <w:rFonts w:hint="eastAsia" w:ascii="仿宋_GB2312" w:hAnsi="宋体" w:eastAsia="宋体" w:cs="宋体"/>
          <w:color w:val="4D4D4D"/>
          <w:kern w:val="0"/>
          <w:sz w:val="30"/>
          <w:szCs w:val="30"/>
        </w:rPr>
        <w:t>6）交易時間：本所交易時間（集合競價時間：上午9：15-9：25；連續競價時間上午9：30-11：30；下午13：00-15：00；大宗交易時間15：00-15：30）。</w:t>
      </w:r>
    </w:p>
    <w:p>
      <w:pPr>
        <w:widowControl/>
        <w:shd w:val="clear" w:color="auto" w:fill="FFFFFF"/>
        <w:spacing w:after="150" w:line="384" w:lineRule="auto"/>
        <w:ind w:firstLine="560"/>
        <w:rPr>
          <w:rFonts w:ascii="宋体" w:hAnsi="宋体" w:eastAsia="宋体" w:cs="宋体"/>
          <w:color w:val="4D4D4D"/>
          <w:kern w:val="0"/>
          <w:sz w:val="30"/>
          <w:szCs w:val="30"/>
        </w:rPr>
      </w:pPr>
      <w:r>
        <w:rPr>
          <w:rFonts w:hint="eastAsia" w:ascii="仿宋_GB2312" w:hAnsi="宋体" w:eastAsia="宋体" w:cs="宋体"/>
          <w:color w:val="4D4D4D"/>
          <w:kern w:val="0"/>
          <w:sz w:val="30"/>
          <w:szCs w:val="30"/>
        </w:rPr>
        <w:t>7）黃金ETF可適用大宗交易的相關規則。</w:t>
      </w:r>
    </w:p>
    <w:p>
      <w:pPr>
        <w:widowControl/>
        <w:shd w:val="clear" w:color="auto" w:fill="FFFFFF"/>
        <w:rPr>
          <w:rFonts w:ascii="仿宋_GB2312" w:hAnsi="宋体" w:eastAsia="仿宋_GB2312" w:cs="宋体"/>
          <w:b/>
          <w:bCs/>
          <w:color w:val="333333"/>
          <w:kern w:val="0"/>
          <w:sz w:val="32"/>
          <w:szCs w:val="32"/>
        </w:rPr>
      </w:pPr>
      <w:bookmarkStart w:id="7" w:name="_Toc338410903"/>
      <w:bookmarkEnd w:id="7"/>
      <w:bookmarkStart w:id="8" w:name="_Toc291855383"/>
      <w:bookmarkEnd w:id="8"/>
      <w:r>
        <w:rPr>
          <w:rFonts w:hint="eastAsia" w:ascii="仿宋_GB2312" w:hAnsi="宋体" w:eastAsia="宋体" w:cs="宋体"/>
          <w:b/>
          <w:bCs/>
          <w:color w:val="333333"/>
          <w:kern w:val="0"/>
          <w:sz w:val="32"/>
          <w:szCs w:val="32"/>
        </w:rPr>
        <w:t>六、申購與贖回</w:t>
      </w:r>
    </w:p>
    <w:p>
      <w:pPr>
        <w:widowControl/>
        <w:shd w:val="clear" w:color="auto" w:fill="FFFFFF"/>
        <w:spacing w:after="150" w:line="384" w:lineRule="auto"/>
        <w:ind w:firstLine="560"/>
        <w:rPr>
          <w:rFonts w:hint="eastAsia" w:ascii="仿宋_GB2312" w:hAnsi="宋体" w:eastAsia="仿宋_GB2312" w:cs="宋体"/>
          <w:color w:val="4D4D4D"/>
          <w:kern w:val="0"/>
          <w:sz w:val="30"/>
          <w:szCs w:val="30"/>
        </w:rPr>
      </w:pPr>
      <w:r>
        <w:rPr>
          <w:rFonts w:hint="eastAsia" w:ascii="仿宋_GB2312" w:hAnsi="宋体" w:eastAsia="宋体" w:cs="宋体"/>
          <w:color w:val="4D4D4D"/>
          <w:kern w:val="0"/>
          <w:sz w:val="30"/>
          <w:szCs w:val="30"/>
        </w:rPr>
        <w:t>1）現金申贖（上市首日起）</w:t>
      </w:r>
    </w:p>
    <w:p>
      <w:pPr>
        <w:widowControl/>
        <w:shd w:val="clear" w:color="auto" w:fill="FFFFFF"/>
        <w:spacing w:after="150" w:line="384" w:lineRule="auto"/>
        <w:ind w:firstLine="560"/>
        <w:rPr>
          <w:rFonts w:hint="eastAsia" w:ascii="仿宋_GB2312" w:hAnsi="宋体" w:eastAsia="仿宋_GB2312" w:cs="宋体"/>
          <w:color w:val="4D4D4D"/>
          <w:kern w:val="0"/>
          <w:sz w:val="30"/>
          <w:szCs w:val="30"/>
        </w:rPr>
      </w:pPr>
      <w:r>
        <w:rPr>
          <w:rFonts w:hint="eastAsia" w:ascii="仿宋_GB2312" w:hAnsi="宋体" w:eastAsia="宋体" w:cs="宋体"/>
          <w:color w:val="4D4D4D"/>
          <w:kern w:val="0"/>
          <w:sz w:val="30"/>
          <w:szCs w:val="30"/>
        </w:rPr>
        <w:t>當日開市前，基金管理人公佈現金申購贖回清單，其中包括當日申購總量和贖回總量的限額。交易時間內，投資者通過代辦券商提交申贖申報，代辦券商負責檢查申購的對價是否足額。交易系統接收代辦券商的申贖申報後，檢查當日該基金的累計申贖申報是否超過基金管理人規定的限額，對通過檢查的贖回申請，即時記減投資者可賣出或贖回的ETF份額，即時發送申贖確認資訊給券商、基金管理人。基金管理人在金交所買入（賣出）相應的黃金現貨合約。</w:t>
      </w:r>
    </w:p>
    <w:p>
      <w:pPr>
        <w:widowControl/>
        <w:shd w:val="clear" w:color="auto" w:fill="FFFFFF"/>
        <w:spacing w:after="150" w:line="384" w:lineRule="auto"/>
        <w:ind w:firstLine="560"/>
        <w:rPr>
          <w:rFonts w:hint="eastAsia" w:ascii="仿宋_GB2312" w:hAnsi="宋体" w:eastAsia="仿宋_GB2312" w:cs="宋体"/>
          <w:color w:val="4D4D4D"/>
          <w:kern w:val="0"/>
          <w:sz w:val="30"/>
          <w:szCs w:val="30"/>
        </w:rPr>
      </w:pPr>
      <w:r>
        <w:rPr>
          <w:rFonts w:hint="eastAsia" w:ascii="仿宋_GB2312" w:hAnsi="宋体" w:eastAsia="宋体" w:cs="宋体"/>
          <w:color w:val="4D4D4D"/>
          <w:kern w:val="0"/>
          <w:sz w:val="30"/>
          <w:szCs w:val="30"/>
        </w:rPr>
        <w:t>申購申報不允許撤單，當日現金申購的黃金ETF份額，當日清算交收完成後，可於次一交易日賣出、現金贖回或黃金現貨合約贖回。</w:t>
      </w:r>
    </w:p>
    <w:p>
      <w:pPr>
        <w:widowControl/>
        <w:shd w:val="clear" w:color="auto" w:fill="FFFFFF"/>
        <w:spacing w:after="150" w:line="384" w:lineRule="auto"/>
        <w:ind w:firstLine="560"/>
        <w:rPr>
          <w:rFonts w:hint="eastAsia" w:ascii="仿宋_GB2312" w:hAnsi="宋体" w:eastAsia="仿宋_GB2312" w:cs="宋体"/>
          <w:color w:val="4D4D4D"/>
          <w:kern w:val="0"/>
          <w:sz w:val="30"/>
          <w:szCs w:val="30"/>
        </w:rPr>
      </w:pPr>
      <w:r>
        <w:rPr>
          <w:rFonts w:hint="eastAsia" w:ascii="仿宋_GB2312" w:hAnsi="宋体" w:eastAsia="宋体" w:cs="宋体"/>
          <w:color w:val="4D4D4D"/>
          <w:kern w:val="0"/>
          <w:sz w:val="30"/>
          <w:szCs w:val="30"/>
        </w:rPr>
        <w:t>現金申購與贖回時間：上午9：30-11：30；下午13：00-15：00。</w:t>
      </w:r>
    </w:p>
    <w:p>
      <w:pPr>
        <w:widowControl/>
        <w:shd w:val="clear" w:color="auto" w:fill="FFFFFF"/>
        <w:spacing w:after="150" w:line="384" w:lineRule="auto"/>
        <w:ind w:firstLine="549"/>
        <w:rPr>
          <w:rFonts w:hint="eastAsia" w:ascii="仿宋_GB2312" w:hAnsi="宋体" w:eastAsia="仿宋_GB2312" w:cs="宋体"/>
          <w:color w:val="4D4D4D"/>
          <w:kern w:val="0"/>
          <w:sz w:val="30"/>
          <w:szCs w:val="30"/>
        </w:rPr>
      </w:pPr>
      <w:r>
        <w:rPr>
          <w:rFonts w:hint="eastAsia" w:ascii="仿宋_GB2312" w:hAnsi="宋体" w:eastAsia="宋体" w:cs="宋体"/>
          <w:color w:val="4D4D4D"/>
          <w:kern w:val="0"/>
          <w:sz w:val="30"/>
          <w:szCs w:val="30"/>
        </w:rPr>
        <w:t>2）</w:t>
      </w:r>
      <w:bookmarkStart w:id="9" w:name="_Toc332274174"/>
      <w:bookmarkEnd w:id="9"/>
      <w:bookmarkStart w:id="10" w:name="_Toc291855384"/>
      <w:bookmarkEnd w:id="10"/>
      <w:bookmarkStart w:id="11" w:name="_Toc338410904"/>
      <w:bookmarkEnd w:id="11"/>
      <w:r>
        <w:rPr>
          <w:rFonts w:hint="eastAsia" w:ascii="仿宋_GB2312" w:hAnsi="宋体" w:eastAsia="宋体" w:cs="宋体"/>
          <w:color w:val="4D4D4D"/>
          <w:kern w:val="0"/>
          <w:sz w:val="30"/>
          <w:szCs w:val="30"/>
        </w:rPr>
        <w:t>黃金現貨合約申贖</w:t>
      </w:r>
    </w:p>
    <w:p>
      <w:pPr>
        <w:widowControl/>
        <w:shd w:val="clear" w:color="auto" w:fill="FFFFFF"/>
        <w:spacing w:after="150" w:line="384" w:lineRule="auto"/>
        <w:ind w:firstLine="560"/>
        <w:rPr>
          <w:rFonts w:hint="eastAsia" w:ascii="仿宋_GB2312" w:hAnsi="宋体" w:eastAsia="仿宋_GB2312" w:cs="宋体"/>
          <w:color w:val="4D4D4D"/>
          <w:kern w:val="0"/>
          <w:sz w:val="30"/>
          <w:szCs w:val="30"/>
        </w:rPr>
      </w:pPr>
      <w:r>
        <w:rPr>
          <w:rFonts w:hint="eastAsia" w:ascii="仿宋_GB2312" w:hAnsi="宋体" w:eastAsia="宋体" w:cs="宋体"/>
          <w:color w:val="4D4D4D"/>
          <w:kern w:val="0"/>
          <w:sz w:val="30"/>
          <w:szCs w:val="30"/>
        </w:rPr>
        <w:t>投資者進行黃金現貨合約申贖前需在基金管理人事先完成帳戶備案，基金管理人分別在結算公司和金交所驗證投資者在兩個市場帳戶的有效性。投資者證券帳號、黃金帳號等資訊發生變化時，應及時更新在基金管理人的備案資訊。代辦券商應及時向其客戶披露對應的交易單元號，以便客戶進行黃金現貨合約申贖。</w:t>
      </w:r>
    </w:p>
    <w:p>
      <w:pPr>
        <w:widowControl/>
        <w:shd w:val="clear" w:color="auto" w:fill="FFFFFF"/>
        <w:spacing w:after="150" w:line="384" w:lineRule="auto"/>
        <w:ind w:firstLine="560"/>
        <w:rPr>
          <w:rFonts w:hint="eastAsia" w:ascii="仿宋_GB2312" w:hAnsi="宋体" w:eastAsia="仿宋_GB2312" w:cs="宋体"/>
          <w:color w:val="4D4D4D"/>
          <w:kern w:val="0"/>
          <w:sz w:val="30"/>
          <w:szCs w:val="30"/>
        </w:rPr>
      </w:pPr>
      <w:r>
        <w:rPr>
          <w:rFonts w:hint="eastAsia" w:ascii="仿宋_GB2312" w:hAnsi="宋体" w:eastAsia="宋体" w:cs="宋体"/>
          <w:color w:val="4D4D4D"/>
          <w:kern w:val="0"/>
          <w:sz w:val="30"/>
          <w:szCs w:val="30"/>
        </w:rPr>
        <w:t>交易時間內，投資者通過金交所會員向金交所提交申購申報。本所接受金交所傳送的投資者申贖數據及黃金現貨合約凍結數據後，檢查投資者帳戶合法性、指定交易關係等，對通過檢查的申報，將成功的申購確認數據即時發金交所、基金管理人和結算公司，登記結算公司依據本所提供的申贖成交確認資訊進行ETF份額登記（即時記增投資者可賣出或贖回的ETF份額），並向相應的券商（通過交易單元）發送份額增加資訊。對未通過檢查的申報，本所只向金交所回饋確認失敗資訊。金交所收到本所成功確認資訊後即時進行黃金現貨合約過戶，即從投資者黃金帳戶過戶到ETF託管黃金帳戶。對於未通過檢查的申購申請，金交所收到本所失敗確認資訊後，解除相應黃金合約的凍結。</w:t>
      </w:r>
    </w:p>
    <w:p>
      <w:pPr>
        <w:widowControl/>
        <w:shd w:val="clear" w:color="auto" w:fill="FFFFFF"/>
        <w:spacing w:after="150" w:line="384" w:lineRule="auto"/>
        <w:ind w:firstLine="560"/>
        <w:rPr>
          <w:rFonts w:hint="eastAsia" w:ascii="仿宋_GB2312" w:hAnsi="宋体" w:eastAsia="仿宋_GB2312" w:cs="宋体"/>
          <w:color w:val="4D4D4D"/>
          <w:kern w:val="0"/>
          <w:sz w:val="30"/>
          <w:szCs w:val="30"/>
        </w:rPr>
      </w:pPr>
      <w:r>
        <w:rPr>
          <w:rFonts w:hint="eastAsia" w:ascii="仿宋_GB2312" w:hAnsi="宋体" w:eastAsia="宋体" w:cs="宋体"/>
          <w:color w:val="4D4D4D"/>
          <w:kern w:val="0"/>
          <w:sz w:val="30"/>
          <w:szCs w:val="30"/>
        </w:rPr>
        <w:t>當日開盤前，結算公司向交易系統傳送投資者帳戶的“可贖回額度”。可贖回額度是指前一日已完成資金交收並登記在投資者名的ETF份額或買入並已完成預交收的ETF份額。交易時間內本所交易系統收到金交所傳送的投資者贖回申報後，檢查投資者帳戶合法性、指定交易關係等，然後檢查贖回數量是否未超過其持倉量和“可贖回額度”，如同時滿足兩項條件，則贖回成功，登記結算公司依據本所提供的成交確認資訊即時記減投資者持有的ETF份額和“可贖回額度”。</w:t>
      </w:r>
    </w:p>
    <w:p>
      <w:pPr>
        <w:widowControl/>
        <w:shd w:val="clear" w:color="auto" w:fill="FFFFFF"/>
        <w:spacing w:after="150" w:line="384" w:lineRule="auto"/>
        <w:ind w:firstLine="560"/>
        <w:rPr>
          <w:rFonts w:hint="eastAsia" w:ascii="仿宋_GB2312" w:hAnsi="宋体" w:eastAsia="仿宋_GB2312" w:cs="宋体"/>
          <w:color w:val="4D4D4D"/>
          <w:kern w:val="0"/>
          <w:sz w:val="30"/>
          <w:szCs w:val="30"/>
        </w:rPr>
      </w:pPr>
      <w:r>
        <w:rPr>
          <w:rFonts w:hint="eastAsia" w:ascii="仿宋_GB2312" w:hAnsi="宋体" w:eastAsia="宋体" w:cs="宋体"/>
          <w:color w:val="4D4D4D"/>
          <w:kern w:val="0"/>
          <w:sz w:val="30"/>
          <w:szCs w:val="30"/>
        </w:rPr>
        <w:t>本所交易系統將成功的贖回確認數據即時發金交所、基金管理人、結算公司，並向相應的券商（交易單元）發送份額減少資訊。金交所接收到本所的成功確認資訊後，即時進行黃金現貨合約過戶，即從ETF託管黃金帳戶過戶到投資者黃金帳戶；如收到本所確認失敗資訊，則通過其會員向投資者發送贖回失敗的回饋。</w:t>
      </w:r>
    </w:p>
    <w:p>
      <w:pPr>
        <w:widowControl/>
        <w:shd w:val="clear" w:color="auto" w:fill="FFFFFF"/>
        <w:spacing w:after="150" w:line="384" w:lineRule="auto"/>
        <w:ind w:firstLine="560"/>
        <w:rPr>
          <w:rFonts w:hint="eastAsia" w:ascii="仿宋_GB2312" w:hAnsi="宋体" w:eastAsia="仿宋_GB2312" w:cs="宋体"/>
          <w:color w:val="4D4D4D"/>
          <w:kern w:val="0"/>
          <w:sz w:val="30"/>
          <w:szCs w:val="30"/>
        </w:rPr>
      </w:pPr>
      <w:r>
        <w:rPr>
          <w:rFonts w:hint="eastAsia" w:ascii="仿宋_GB2312" w:hAnsi="宋体" w:eastAsia="宋体" w:cs="宋体"/>
          <w:color w:val="4D4D4D"/>
          <w:kern w:val="0"/>
          <w:sz w:val="30"/>
          <w:szCs w:val="30"/>
        </w:rPr>
        <w:t>對未通過檢查的申贖申請，本所只向金交所發送確認失敗資訊。</w:t>
      </w:r>
    </w:p>
    <w:p>
      <w:pPr>
        <w:widowControl/>
        <w:shd w:val="clear" w:color="auto" w:fill="FFFFFF"/>
        <w:spacing w:after="150" w:line="384" w:lineRule="auto"/>
        <w:ind w:firstLine="560"/>
        <w:rPr>
          <w:rFonts w:hint="eastAsia" w:ascii="仿宋_GB2312" w:hAnsi="宋体" w:eastAsia="仿宋_GB2312" w:cs="宋体"/>
          <w:color w:val="4D4D4D"/>
          <w:kern w:val="0"/>
          <w:sz w:val="30"/>
          <w:szCs w:val="30"/>
        </w:rPr>
      </w:pPr>
      <w:r>
        <w:rPr>
          <w:rFonts w:hint="eastAsia" w:ascii="仿宋_GB2312" w:hAnsi="宋体" w:eastAsia="宋体" w:cs="宋体"/>
          <w:color w:val="4D4D4D"/>
          <w:kern w:val="0"/>
          <w:sz w:val="30"/>
          <w:szCs w:val="30"/>
        </w:rPr>
        <w:t>當日收盤後，本所將當日成功的申購數據發送給基金管理人和相應的券商；當日收盤後，結算公司根據本所盤中發送的申購數據，完成新增份額登記。</w:t>
      </w:r>
    </w:p>
    <w:p>
      <w:pPr>
        <w:widowControl/>
        <w:shd w:val="clear" w:color="auto" w:fill="FFFFFF"/>
        <w:spacing w:after="150" w:line="384" w:lineRule="auto"/>
        <w:ind w:firstLine="560"/>
        <w:rPr>
          <w:rFonts w:hint="eastAsia" w:ascii="仿宋_GB2312" w:hAnsi="宋体" w:eastAsia="仿宋_GB2312" w:cs="宋体"/>
          <w:color w:val="4D4D4D"/>
          <w:kern w:val="0"/>
          <w:sz w:val="30"/>
          <w:szCs w:val="30"/>
        </w:rPr>
      </w:pPr>
      <w:r>
        <w:rPr>
          <w:rFonts w:hint="eastAsia" w:ascii="仿宋_GB2312" w:hAnsi="宋体" w:eastAsia="宋体" w:cs="宋体"/>
          <w:color w:val="4D4D4D"/>
          <w:kern w:val="0"/>
          <w:sz w:val="30"/>
          <w:szCs w:val="30"/>
        </w:rPr>
        <w:t>當日黃金現貨合約申購的黃金ETF份額，當日可以賣出、現金贖回或黃金現貨合約贖回；當日黃金現貨合約贖回獲得的黃金現貨合約，當日可以用於黃金現貨合約申購。</w:t>
      </w:r>
    </w:p>
    <w:p>
      <w:pPr>
        <w:widowControl/>
        <w:shd w:val="clear" w:color="auto" w:fill="FFFFFF"/>
        <w:spacing w:after="150" w:line="384" w:lineRule="auto"/>
        <w:ind w:firstLine="560"/>
        <w:rPr>
          <w:rFonts w:hint="eastAsia" w:ascii="仿宋_GB2312" w:hAnsi="宋体" w:eastAsia="仿宋_GB2312" w:cs="宋体"/>
          <w:color w:val="4D4D4D"/>
          <w:kern w:val="0"/>
          <w:sz w:val="30"/>
          <w:szCs w:val="30"/>
        </w:rPr>
      </w:pPr>
      <w:r>
        <w:rPr>
          <w:rFonts w:hint="eastAsia" w:ascii="仿宋_GB2312" w:hAnsi="宋体" w:eastAsia="宋体" w:cs="宋体"/>
          <w:color w:val="4D4D4D"/>
          <w:kern w:val="0"/>
          <w:sz w:val="30"/>
          <w:szCs w:val="30"/>
        </w:rPr>
        <w:t>黃金現貨合約申贖時間：上午9:30-11:30；下午13:00-15:00。</w:t>
      </w:r>
    </w:p>
    <w:p>
      <w:pPr>
        <w:widowControl/>
        <w:shd w:val="clear" w:color="auto" w:fill="FFFFFF"/>
        <w:rPr>
          <w:rFonts w:ascii="仿宋_GB2312" w:hAnsi="宋体" w:eastAsia="仿宋_GB2312" w:cs="宋体"/>
          <w:b/>
          <w:bCs/>
          <w:color w:val="333333"/>
          <w:kern w:val="0"/>
          <w:sz w:val="32"/>
          <w:szCs w:val="32"/>
        </w:rPr>
      </w:pPr>
      <w:r>
        <w:rPr>
          <w:rFonts w:hint="eastAsia" w:ascii="仿宋_GB2312" w:hAnsi="宋体" w:eastAsia="宋体" w:cs="宋体"/>
          <w:b/>
          <w:bCs/>
          <w:color w:val="333333"/>
          <w:kern w:val="0"/>
          <w:sz w:val="32"/>
          <w:szCs w:val="32"/>
        </w:rPr>
        <w:t>七、登記結算</w:t>
      </w:r>
    </w:p>
    <w:p>
      <w:pPr>
        <w:widowControl/>
        <w:shd w:val="clear" w:color="auto" w:fill="FFFFFF"/>
        <w:spacing w:after="150" w:line="384" w:lineRule="auto"/>
        <w:ind w:left="-74" w:firstLine="560"/>
        <w:rPr>
          <w:rFonts w:ascii="宋体" w:hAnsi="宋体" w:eastAsia="宋体" w:cs="宋体"/>
          <w:color w:val="4D4D4D"/>
          <w:kern w:val="0"/>
          <w:sz w:val="30"/>
          <w:szCs w:val="30"/>
        </w:rPr>
      </w:pPr>
      <w:r>
        <w:rPr>
          <w:rFonts w:hint="eastAsia" w:ascii="仿宋_GB2312" w:hAnsi="宋体" w:eastAsia="宋体" w:cs="宋体"/>
          <w:color w:val="4D4D4D"/>
          <w:kern w:val="0"/>
          <w:sz w:val="30"/>
          <w:szCs w:val="30"/>
        </w:rPr>
        <w:t>1）現金申贖</w:t>
      </w:r>
    </w:p>
    <w:p>
      <w:pPr>
        <w:widowControl/>
        <w:shd w:val="clear" w:color="auto" w:fill="FFFFFF"/>
        <w:spacing w:after="150" w:line="384" w:lineRule="auto"/>
        <w:ind w:left="-74" w:firstLine="560"/>
        <w:rPr>
          <w:rFonts w:ascii="宋体" w:hAnsi="宋体" w:eastAsia="宋体" w:cs="宋体"/>
          <w:color w:val="4D4D4D"/>
          <w:kern w:val="0"/>
          <w:sz w:val="30"/>
          <w:szCs w:val="30"/>
        </w:rPr>
      </w:pPr>
      <w:r>
        <w:rPr>
          <w:rFonts w:hint="eastAsia" w:ascii="仿宋_GB2312" w:hAnsi="宋体" w:eastAsia="宋体" w:cs="宋体"/>
          <w:color w:val="4D4D4D"/>
          <w:kern w:val="0"/>
          <w:sz w:val="30"/>
          <w:szCs w:val="30"/>
        </w:rPr>
        <w:t>黃金ETF申購、贖回涉及的資金均採取非擔保交收模式。</w:t>
      </w:r>
    </w:p>
    <w:p>
      <w:pPr>
        <w:widowControl/>
        <w:shd w:val="clear" w:color="auto" w:fill="FFFFFF"/>
        <w:spacing w:after="150" w:line="384" w:lineRule="auto"/>
        <w:ind w:left="-74" w:firstLine="560"/>
        <w:rPr>
          <w:rFonts w:ascii="宋体" w:hAnsi="宋体" w:eastAsia="宋体" w:cs="宋体"/>
          <w:color w:val="4D4D4D"/>
          <w:kern w:val="0"/>
          <w:sz w:val="30"/>
          <w:szCs w:val="30"/>
        </w:rPr>
      </w:pPr>
      <w:r>
        <w:rPr>
          <w:rFonts w:hint="eastAsia" w:ascii="仿宋_GB2312" w:hAnsi="宋体" w:eastAsia="宋体" w:cs="宋体"/>
          <w:color w:val="4D4D4D"/>
          <w:kern w:val="0"/>
          <w:sz w:val="30"/>
          <w:szCs w:val="30"/>
        </w:rPr>
        <w:t>對於申購的份額，結算公司根據本所發送的當日申購數據進行現金替代的逐筆清算，計算出結算參與人每筆申購應收付的資金數量，並將清算結果發送相關結算參與人和基金管理人。結算公司按照根據當日申報的先後順序，逐筆檢查該時點券商專用資金交收帳戶中資金是否足額（資金不足的不辦理記增）。現金差額、現金替代退補款按基金招募說明書約定的時間進行代收代付。</w:t>
      </w:r>
    </w:p>
    <w:p>
      <w:pPr>
        <w:widowControl/>
        <w:shd w:val="clear" w:color="auto" w:fill="FFFFFF"/>
        <w:spacing w:after="150" w:line="384" w:lineRule="auto"/>
        <w:ind w:left="-74" w:firstLine="560"/>
        <w:rPr>
          <w:rFonts w:ascii="宋体" w:hAnsi="宋体" w:eastAsia="宋体" w:cs="宋体"/>
          <w:color w:val="4D4D4D"/>
          <w:kern w:val="0"/>
          <w:sz w:val="30"/>
          <w:szCs w:val="30"/>
        </w:rPr>
      </w:pPr>
      <w:r>
        <w:rPr>
          <w:rFonts w:hint="eastAsia" w:ascii="仿宋_GB2312" w:hAnsi="宋体" w:eastAsia="宋体" w:cs="宋体"/>
          <w:color w:val="4D4D4D"/>
          <w:kern w:val="0"/>
          <w:sz w:val="30"/>
          <w:szCs w:val="30"/>
        </w:rPr>
        <w:t>對於贖回的份額，當日末中國結算上海分公司根據本所的贖回數據，按照贖回方證券帳戶相應黃金ETF份額的可用數量，辦理黃金ETF份額的記減。贖回現金替代和現金差額按基金招募說明書約定的時間進行代收代付（正常情況下，基金管理人在T+1日至T+3日可與券商完成贖回資金的交收）;當日買入的份額,日終預交收足額，下一交易日方可贖回。</w:t>
      </w:r>
    </w:p>
    <w:p>
      <w:pPr>
        <w:widowControl/>
        <w:shd w:val="clear" w:color="auto" w:fill="FFFFFF"/>
        <w:spacing w:after="150" w:line="384" w:lineRule="auto"/>
        <w:ind w:left="-74" w:firstLine="560"/>
        <w:rPr>
          <w:rFonts w:ascii="宋体" w:hAnsi="宋体" w:eastAsia="宋体" w:cs="宋体"/>
          <w:color w:val="4D4D4D"/>
          <w:kern w:val="0"/>
          <w:sz w:val="30"/>
          <w:szCs w:val="30"/>
        </w:rPr>
      </w:pPr>
      <w:r>
        <w:rPr>
          <w:rFonts w:hint="eastAsia" w:ascii="仿宋_GB2312" w:hAnsi="宋体" w:eastAsia="宋体" w:cs="宋体"/>
          <w:color w:val="4D4D4D"/>
          <w:kern w:val="0"/>
          <w:sz w:val="30"/>
          <w:szCs w:val="30"/>
        </w:rPr>
        <w:t>2）黃金現貨合約申贖</w:t>
      </w:r>
    </w:p>
    <w:p>
      <w:pPr>
        <w:widowControl/>
        <w:shd w:val="clear" w:color="auto" w:fill="FFFFFF"/>
        <w:spacing w:after="150" w:line="384" w:lineRule="auto"/>
        <w:ind w:left="-74" w:firstLine="560"/>
        <w:rPr>
          <w:rFonts w:ascii="宋体" w:hAnsi="宋体" w:eastAsia="宋体" w:cs="宋体"/>
          <w:color w:val="4D4D4D"/>
          <w:kern w:val="0"/>
          <w:sz w:val="30"/>
          <w:szCs w:val="30"/>
        </w:rPr>
      </w:pPr>
      <w:r>
        <w:rPr>
          <w:rFonts w:hint="eastAsia" w:ascii="仿宋_GB2312" w:hAnsi="宋体" w:eastAsia="宋体" w:cs="宋体"/>
          <w:color w:val="4D4D4D"/>
          <w:kern w:val="0"/>
          <w:sz w:val="30"/>
          <w:szCs w:val="30"/>
        </w:rPr>
        <w:t>對於申購或贖回的份額，中國結算上海分公司根據本所發送的T日有效申購或贖回數據，進行黃金ETF份額的記增記減。黃金現貨合約申贖涉及的黃金現貨合約交收由金交所負責處理，涉及的預估現金、現金替代和現金差額的交收，由金交所負責交收或由基金管理人與金交所代辦會員自行交收。</w:t>
      </w:r>
    </w:p>
    <w:p>
      <w:pPr>
        <w:widowControl/>
        <w:shd w:val="clear" w:color="auto" w:fill="FFFFFF"/>
        <w:spacing w:after="150" w:line="384" w:lineRule="auto"/>
        <w:ind w:left="-74" w:firstLine="560"/>
        <w:rPr>
          <w:rFonts w:ascii="宋体" w:hAnsi="宋体" w:eastAsia="宋体" w:cs="宋体"/>
          <w:color w:val="4D4D4D"/>
          <w:kern w:val="0"/>
          <w:sz w:val="30"/>
          <w:szCs w:val="30"/>
        </w:rPr>
      </w:pPr>
      <w:r>
        <w:rPr>
          <w:rFonts w:hint="eastAsia" w:ascii="仿宋_GB2312" w:hAnsi="宋体" w:eastAsia="宋体" w:cs="宋体"/>
          <w:color w:val="4D4D4D"/>
          <w:kern w:val="0"/>
          <w:sz w:val="30"/>
          <w:szCs w:val="30"/>
        </w:rPr>
        <w:t>3）結算交收違約的處理</w:t>
      </w:r>
    </w:p>
    <w:p>
      <w:pPr>
        <w:widowControl/>
        <w:shd w:val="clear" w:color="auto" w:fill="FFFFFF"/>
        <w:spacing w:after="150" w:line="384" w:lineRule="auto"/>
        <w:ind w:left="-74" w:firstLine="560"/>
        <w:rPr>
          <w:rFonts w:ascii="宋体" w:hAnsi="宋体" w:eastAsia="宋体" w:cs="宋体"/>
          <w:color w:val="4D4D4D"/>
          <w:kern w:val="0"/>
          <w:sz w:val="30"/>
          <w:szCs w:val="30"/>
        </w:rPr>
      </w:pPr>
      <w:r>
        <w:rPr>
          <w:rFonts w:hint="eastAsia" w:ascii="仿宋_GB2312" w:hAnsi="宋体" w:eastAsia="宋体" w:cs="宋体"/>
          <w:color w:val="4D4D4D"/>
          <w:kern w:val="0"/>
          <w:sz w:val="30"/>
          <w:szCs w:val="30"/>
        </w:rPr>
        <w:t>在現金申贖方式下，代辦券商未做好申購對價的凍結和控制，或未能按照結算時間要求準備好交收資金造成申購贖回交收失敗，本所可以商結算公司暫停代辦券商的申贖資格，或者根據本所相關規定採取其他紀律處分或者監管措施。</w:t>
      </w:r>
    </w:p>
    <w:p>
      <w:pPr>
        <w:widowControl/>
        <w:shd w:val="clear" w:color="auto" w:fill="FFFFFF"/>
        <w:rPr>
          <w:rFonts w:ascii="仿宋_GB2312" w:hAnsi="宋体" w:eastAsia="仿宋_GB2312" w:cs="宋体"/>
          <w:b/>
          <w:bCs/>
          <w:color w:val="333333"/>
          <w:kern w:val="0"/>
          <w:sz w:val="32"/>
          <w:szCs w:val="32"/>
        </w:rPr>
      </w:pPr>
      <w:bookmarkStart w:id="12" w:name="_Toc347163310"/>
      <w:bookmarkEnd w:id="12"/>
      <w:r>
        <w:rPr>
          <w:rFonts w:hint="eastAsia" w:ascii="仿宋_GB2312" w:hAnsi="宋体" w:eastAsia="宋体" w:cs="宋体"/>
          <w:b/>
          <w:bCs/>
          <w:color w:val="333333"/>
          <w:kern w:val="0"/>
          <w:sz w:val="32"/>
          <w:szCs w:val="32"/>
        </w:rPr>
        <w:t>八、收益分配與權益登記</w:t>
      </w:r>
    </w:p>
    <w:p>
      <w:pPr>
        <w:widowControl/>
        <w:shd w:val="clear" w:color="auto" w:fill="FFFFFF"/>
        <w:spacing w:after="150" w:line="384" w:lineRule="auto"/>
        <w:ind w:left="-74" w:firstLine="560"/>
        <w:rPr>
          <w:rFonts w:ascii="宋体" w:hAnsi="宋体" w:eastAsia="宋体" w:cs="宋体"/>
          <w:color w:val="4D4D4D"/>
          <w:kern w:val="0"/>
          <w:sz w:val="30"/>
          <w:szCs w:val="30"/>
        </w:rPr>
      </w:pPr>
      <w:bookmarkStart w:id="13" w:name="_Toc332274169"/>
      <w:bookmarkEnd w:id="13"/>
      <w:bookmarkStart w:id="14" w:name="_Toc338410906"/>
      <w:bookmarkEnd w:id="14"/>
      <w:r>
        <w:rPr>
          <w:rFonts w:hint="eastAsia" w:ascii="仿宋_GB2312" w:hAnsi="宋体" w:eastAsia="宋体" w:cs="宋体"/>
          <w:color w:val="4D4D4D"/>
          <w:kern w:val="0"/>
          <w:sz w:val="30"/>
          <w:szCs w:val="30"/>
        </w:rPr>
        <w:t>黃金ETF收益分配業務處理模式類似現有股票ETF。權益登記日清算交收完成後，在中國結算上海分公司登記在冊的全體基金份額持有人享有收益分配權。</w:t>
      </w:r>
    </w:p>
    <w:p>
      <w:pPr>
        <w:widowControl/>
        <w:shd w:val="clear" w:color="auto" w:fill="FFFFFF"/>
        <w:rPr>
          <w:rFonts w:ascii="仿宋_GB2312" w:hAnsi="宋体" w:eastAsia="仿宋_GB2312" w:cs="宋体"/>
          <w:b/>
          <w:bCs/>
          <w:color w:val="333333"/>
          <w:kern w:val="0"/>
          <w:sz w:val="32"/>
          <w:szCs w:val="32"/>
        </w:rPr>
      </w:pPr>
      <w:r>
        <w:rPr>
          <w:rFonts w:hint="eastAsia" w:ascii="仿宋_GB2312" w:hAnsi="宋体" w:eastAsia="宋体" w:cs="宋体"/>
          <w:b/>
          <w:bCs/>
          <w:color w:val="333333"/>
          <w:kern w:val="0"/>
          <w:sz w:val="32"/>
          <w:szCs w:val="32"/>
        </w:rPr>
        <w:t>九、停複牌</w:t>
      </w:r>
    </w:p>
    <w:p>
      <w:pPr>
        <w:widowControl/>
        <w:shd w:val="clear" w:color="auto" w:fill="FFFFFF"/>
        <w:spacing w:after="150" w:line="384" w:lineRule="auto"/>
        <w:ind w:firstLine="560"/>
        <w:rPr>
          <w:rFonts w:ascii="宋体" w:hAnsi="宋体" w:eastAsia="宋体" w:cs="宋体"/>
          <w:color w:val="4D4D4D"/>
          <w:kern w:val="0"/>
          <w:sz w:val="30"/>
          <w:szCs w:val="30"/>
        </w:rPr>
      </w:pPr>
      <w:r>
        <w:rPr>
          <w:rFonts w:hint="eastAsia" w:ascii="仿宋_GB2312" w:hAnsi="宋体" w:eastAsia="宋体" w:cs="宋体"/>
          <w:color w:val="4D4D4D"/>
          <w:kern w:val="0"/>
          <w:sz w:val="30"/>
          <w:szCs w:val="30"/>
        </w:rPr>
        <w:t>基金交易、現金申購（贖回）、實物申購（贖回）可以分別停複牌。本所根據基金公司的申請或本所規定的其他情形，進行相應的停複牌；金交所根據基金公司申請或黃金交易所規定的其他情形，對黃金現貨合約申贖進行相應停複牌。</w:t>
      </w:r>
    </w:p>
    <w:p>
      <w:pPr>
        <w:widowControl/>
        <w:shd w:val="clear" w:color="auto" w:fill="FFFFFF"/>
        <w:rPr>
          <w:rFonts w:ascii="仿宋_GB2312" w:hAnsi="宋体" w:eastAsia="仿宋_GB2312" w:cs="宋体"/>
          <w:b/>
          <w:bCs/>
          <w:color w:val="333333"/>
          <w:kern w:val="0"/>
          <w:sz w:val="32"/>
          <w:szCs w:val="32"/>
        </w:rPr>
      </w:pPr>
      <w:bookmarkStart w:id="15" w:name="_Toc332274183"/>
      <w:bookmarkEnd w:id="15"/>
      <w:bookmarkStart w:id="16" w:name="_Toc338410907"/>
      <w:bookmarkEnd w:id="16"/>
      <w:r>
        <w:rPr>
          <w:rFonts w:hint="eastAsia" w:ascii="仿宋_GB2312" w:hAnsi="宋体" w:eastAsia="宋体" w:cs="宋体"/>
          <w:b/>
          <w:bCs/>
          <w:color w:val="333333"/>
          <w:kern w:val="0"/>
          <w:sz w:val="32"/>
          <w:szCs w:val="32"/>
        </w:rPr>
        <w:t>十、資訊披露</w:t>
      </w:r>
    </w:p>
    <w:p>
      <w:pPr>
        <w:widowControl/>
        <w:shd w:val="clear" w:color="auto" w:fill="FFFFFF"/>
        <w:spacing w:after="150" w:line="384" w:lineRule="auto"/>
        <w:ind w:firstLine="560"/>
        <w:rPr>
          <w:rFonts w:ascii="宋体" w:hAnsi="宋体" w:eastAsia="宋体" w:cs="宋体"/>
          <w:color w:val="4D4D4D"/>
          <w:kern w:val="0"/>
          <w:sz w:val="30"/>
          <w:szCs w:val="30"/>
        </w:rPr>
      </w:pPr>
      <w:r>
        <w:rPr>
          <w:rFonts w:hint="eastAsia" w:ascii="仿宋_GB2312" w:hAnsi="宋体" w:eastAsia="宋体" w:cs="宋体"/>
          <w:color w:val="4D4D4D"/>
          <w:kern w:val="0"/>
          <w:sz w:val="30"/>
          <w:szCs w:val="30"/>
        </w:rPr>
        <w:t>1）交易行情顯示</w:t>
      </w:r>
    </w:p>
    <w:p>
      <w:pPr>
        <w:widowControl/>
        <w:shd w:val="clear" w:color="auto" w:fill="FFFFFF"/>
        <w:spacing w:after="150" w:line="384" w:lineRule="auto"/>
        <w:ind w:firstLine="560"/>
        <w:rPr>
          <w:rFonts w:ascii="宋体" w:hAnsi="宋体" w:eastAsia="宋体" w:cs="宋体"/>
          <w:color w:val="4D4D4D"/>
          <w:kern w:val="0"/>
          <w:sz w:val="30"/>
          <w:szCs w:val="30"/>
        </w:rPr>
      </w:pPr>
      <w:r>
        <w:rPr>
          <w:rFonts w:hint="eastAsia" w:ascii="仿宋_GB2312" w:hAnsi="宋体" w:eastAsia="宋体" w:cs="宋体"/>
          <w:color w:val="4D4D4D"/>
          <w:kern w:val="0"/>
          <w:sz w:val="30"/>
          <w:szCs w:val="30"/>
        </w:rPr>
        <w:t>黃金ETF交易行情要素與現有的股票ETF基本一致。</w:t>
      </w:r>
    </w:p>
    <w:p>
      <w:pPr>
        <w:widowControl/>
        <w:shd w:val="clear" w:color="auto" w:fill="FFFFFF"/>
        <w:spacing w:after="150" w:line="384" w:lineRule="auto"/>
        <w:ind w:firstLine="560"/>
        <w:rPr>
          <w:rFonts w:ascii="宋体" w:hAnsi="宋体" w:eastAsia="宋体" w:cs="宋体"/>
          <w:color w:val="4D4D4D"/>
          <w:kern w:val="0"/>
          <w:sz w:val="30"/>
          <w:szCs w:val="30"/>
        </w:rPr>
      </w:pPr>
      <w:r>
        <w:rPr>
          <w:rFonts w:hint="eastAsia" w:ascii="仿宋_GB2312" w:hAnsi="宋体" w:eastAsia="宋体" w:cs="宋体"/>
          <w:color w:val="4D4D4D"/>
          <w:kern w:val="0"/>
          <w:sz w:val="30"/>
          <w:szCs w:val="30"/>
        </w:rPr>
        <w:t>2）IOPV計算</w:t>
      </w:r>
    </w:p>
    <w:p>
      <w:pPr>
        <w:widowControl/>
        <w:shd w:val="clear" w:color="auto" w:fill="FFFFFF"/>
        <w:spacing w:after="150" w:line="384" w:lineRule="auto"/>
        <w:ind w:firstLine="560"/>
        <w:rPr>
          <w:rFonts w:ascii="宋体" w:hAnsi="宋体" w:eastAsia="宋体" w:cs="宋体"/>
          <w:color w:val="4D4D4D"/>
          <w:kern w:val="0"/>
          <w:sz w:val="30"/>
          <w:szCs w:val="30"/>
        </w:rPr>
      </w:pPr>
      <w:r>
        <w:rPr>
          <w:rFonts w:hint="eastAsia" w:ascii="仿宋_GB2312" w:hAnsi="宋体" w:eastAsia="宋体" w:cs="宋体"/>
          <w:color w:val="4D4D4D"/>
          <w:kern w:val="0"/>
          <w:sz w:val="30"/>
          <w:szCs w:val="30"/>
        </w:rPr>
        <w:t>黃金ETF的IOPV由中證指數公司計算。中證指數公司根據申購贖回清單和清單內各只黃金現貨合約的即時成交數據，計算基金份額參考淨值（IOPV）並將計算結果傳給交易系統發佈，發佈頻率同單市場ETF。</w:t>
      </w:r>
    </w:p>
    <w:p>
      <w:pPr>
        <w:widowControl/>
        <w:shd w:val="clear" w:color="auto" w:fill="FFFFFF"/>
        <w:spacing w:after="150" w:line="384" w:lineRule="auto"/>
        <w:ind w:firstLine="560"/>
        <w:rPr>
          <w:rFonts w:ascii="宋体" w:hAnsi="宋体" w:eastAsia="宋体" w:cs="宋体"/>
          <w:color w:val="4D4D4D"/>
          <w:kern w:val="0"/>
          <w:sz w:val="30"/>
          <w:szCs w:val="30"/>
        </w:rPr>
      </w:pPr>
      <w:r>
        <w:rPr>
          <w:rFonts w:hint="eastAsia" w:ascii="仿宋_GB2312" w:hAnsi="宋体" w:eastAsia="宋体" w:cs="宋体"/>
          <w:color w:val="4D4D4D"/>
          <w:kern w:val="0"/>
          <w:sz w:val="30"/>
          <w:szCs w:val="30"/>
        </w:rPr>
        <w:t>3）申贖清單</w:t>
      </w:r>
    </w:p>
    <w:p>
      <w:pPr>
        <w:widowControl/>
        <w:shd w:val="clear" w:color="auto" w:fill="FFFFFF"/>
        <w:spacing w:after="150" w:line="384" w:lineRule="auto"/>
        <w:ind w:firstLine="560"/>
        <w:rPr>
          <w:rFonts w:ascii="宋体" w:hAnsi="宋体" w:eastAsia="宋体" w:cs="宋体"/>
          <w:color w:val="4D4D4D"/>
          <w:kern w:val="0"/>
          <w:sz w:val="30"/>
          <w:szCs w:val="30"/>
        </w:rPr>
      </w:pPr>
      <w:r>
        <w:rPr>
          <w:rFonts w:hint="eastAsia" w:ascii="仿宋_GB2312" w:hAnsi="宋体" w:eastAsia="宋体" w:cs="宋体"/>
          <w:color w:val="4D4D4D"/>
          <w:kern w:val="0"/>
          <w:sz w:val="30"/>
          <w:szCs w:val="30"/>
        </w:rPr>
        <w:t>黃金ETF與單市場股票ETF的清單差異主要體現在：公告清單中黃金合約的單位為克。</w:t>
      </w:r>
    </w:p>
    <w:p>
      <w:pPr>
        <w:widowControl/>
        <w:shd w:val="clear" w:color="auto" w:fill="FFFFFF"/>
        <w:rPr>
          <w:rFonts w:ascii="仿宋_GB2312" w:hAnsi="宋体" w:eastAsia="仿宋_GB2312" w:cs="宋体"/>
          <w:b/>
          <w:bCs/>
          <w:color w:val="333333"/>
          <w:kern w:val="0"/>
          <w:sz w:val="32"/>
          <w:szCs w:val="32"/>
        </w:rPr>
      </w:pPr>
      <w:bookmarkStart w:id="17" w:name="_Toc338410908"/>
      <w:bookmarkEnd w:id="17"/>
      <w:r>
        <w:rPr>
          <w:rFonts w:hint="eastAsia" w:ascii="仿宋_GB2312" w:hAnsi="宋体" w:eastAsia="宋体" w:cs="宋体"/>
          <w:b/>
          <w:bCs/>
          <w:color w:val="333333"/>
          <w:kern w:val="0"/>
          <w:sz w:val="32"/>
          <w:szCs w:val="32"/>
        </w:rPr>
        <w:t>十一、收費標準</w:t>
      </w:r>
    </w:p>
    <w:p>
      <w:pPr>
        <w:widowControl/>
        <w:shd w:val="clear" w:color="auto" w:fill="FFFFFF"/>
        <w:spacing w:after="150" w:line="384" w:lineRule="auto"/>
        <w:ind w:firstLine="560"/>
        <w:rPr>
          <w:rFonts w:ascii="宋体" w:hAnsi="宋体" w:eastAsia="宋体" w:cs="宋体"/>
          <w:color w:val="4D4D4D"/>
          <w:kern w:val="0"/>
          <w:sz w:val="30"/>
          <w:szCs w:val="30"/>
        </w:rPr>
      </w:pPr>
      <w:r>
        <w:rPr>
          <w:rFonts w:hint="eastAsia" w:ascii="仿宋_GB2312" w:hAnsi="宋体" w:eastAsia="宋体" w:cs="宋体"/>
          <w:color w:val="4D4D4D"/>
          <w:kern w:val="0"/>
          <w:sz w:val="30"/>
          <w:szCs w:val="30"/>
        </w:rPr>
        <w:t>黃金ETF場內交易收費標準同現有股票ETF,但不實行按照交易量的階梯式費用返回和減免，只對流動性服務商進行費用返還。由於不涉及組合證券過戶，黃金ETF無須收取組合證券過戶費。</w:t>
      </w:r>
    </w:p>
    <w:p>
      <w:pPr>
        <w:widowControl/>
        <w:shd w:val="clear" w:color="auto" w:fill="FFFFFF"/>
        <w:spacing w:after="150" w:line="384" w:lineRule="auto"/>
        <w:ind w:firstLine="560"/>
        <w:rPr>
          <w:rFonts w:ascii="宋体" w:hAnsi="宋体" w:eastAsia="宋体" w:cs="宋体"/>
          <w:color w:val="4D4D4D"/>
          <w:kern w:val="0"/>
          <w:sz w:val="30"/>
          <w:szCs w:val="30"/>
        </w:rPr>
      </w:pPr>
      <w:r>
        <w:rPr>
          <w:rFonts w:hint="eastAsia" w:ascii="仿宋_GB2312" w:hAnsi="宋体" w:eastAsia="宋体" w:cs="宋体"/>
          <w:color w:val="4D4D4D"/>
          <w:kern w:val="0"/>
          <w:sz w:val="30"/>
          <w:szCs w:val="30"/>
        </w:rPr>
        <w:t>根據本所ETF品種交易經手費規定，黃金ETF的交易經手費為成交金額的 0.0045% （會員交本所）。</w:t>
      </w:r>
    </w:p>
    <w:p>
      <w:pPr>
        <w:widowControl/>
        <w:shd w:val="clear" w:color="auto" w:fill="FFFFFF"/>
        <w:rPr>
          <w:rFonts w:hint="eastAsia" w:ascii="仿宋_GB2312" w:hAnsi="宋体" w:eastAsia="仿宋_GB2312" w:cs="宋体"/>
          <w:b/>
          <w:bCs/>
          <w:color w:val="333333"/>
          <w:kern w:val="0"/>
          <w:sz w:val="32"/>
          <w:szCs w:val="32"/>
        </w:rPr>
      </w:pPr>
      <w:r>
        <w:rPr>
          <w:rFonts w:hint="eastAsia" w:ascii="仿宋_GB2312" w:hAnsi="宋体" w:eastAsia="宋体" w:cs="宋体"/>
          <w:b/>
          <w:bCs/>
          <w:color w:val="333333"/>
          <w:kern w:val="0"/>
          <w:sz w:val="32"/>
          <w:szCs w:val="32"/>
        </w:rPr>
        <w:t>十二、</w:t>
      </w:r>
      <w:r>
        <w:rPr>
          <w:rFonts w:ascii="仿宋_GB2312" w:hAnsi="宋体" w:eastAsia="宋体" w:cs="宋体"/>
          <w:b/>
          <w:bCs/>
          <w:color w:val="333333"/>
          <w:kern w:val="0"/>
          <w:sz w:val="32"/>
          <w:szCs w:val="32"/>
        </w:rPr>
        <w:t>收益分配</w:t>
      </w:r>
    </w:p>
    <w:p>
      <w:pPr>
        <w:widowControl/>
        <w:shd w:val="clear" w:color="auto" w:fill="FFFFFF"/>
        <w:spacing w:after="150" w:line="384" w:lineRule="auto"/>
        <w:ind w:firstLine="600" w:firstLineChars="200"/>
        <w:rPr>
          <w:rFonts w:ascii="宋体" w:hAnsi="宋体" w:eastAsia="宋体" w:cs="宋体"/>
          <w:color w:val="4D4D4D"/>
          <w:kern w:val="0"/>
          <w:sz w:val="30"/>
          <w:szCs w:val="30"/>
        </w:rPr>
      </w:pPr>
      <w:r>
        <w:rPr>
          <w:rFonts w:hint="eastAsia" w:ascii="仿宋_GB2312" w:hAnsi="宋体" w:eastAsia="宋体" w:cs="宋体"/>
          <w:color w:val="4D4D4D"/>
          <w:kern w:val="0"/>
          <w:sz w:val="30"/>
          <w:szCs w:val="30"/>
        </w:rPr>
        <w:t>黃金ETF收益分配業務處理模式類似現有股票ETF。權益登記日清算交收完成後，在中國結算上海分公司登記在冊的全體基金份額持有人享有收益分配權。</w:t>
      </w:r>
    </w:p>
    <w:p>
      <w:pPr>
        <w:widowControl/>
        <w:shd w:val="clear" w:color="auto" w:fill="FFFFFF"/>
        <w:rPr>
          <w:rFonts w:hint="eastAsia" w:ascii="仿宋_GB2312" w:hAnsi="宋体" w:eastAsia="仿宋_GB2312" w:cs="宋体"/>
          <w:b/>
          <w:bCs/>
          <w:color w:val="333333"/>
          <w:kern w:val="0"/>
          <w:sz w:val="32"/>
          <w:szCs w:val="32"/>
        </w:rPr>
      </w:pPr>
      <w:r>
        <w:rPr>
          <w:rFonts w:ascii="仿宋_GB2312" w:hAnsi="宋体" w:eastAsia="宋体" w:cs="宋体"/>
          <w:b/>
          <w:bCs/>
          <w:color w:val="333333"/>
          <w:kern w:val="0"/>
          <w:sz w:val="32"/>
          <w:szCs w:val="32"/>
        </w:rPr>
        <w:t>十三</w:t>
      </w:r>
      <w:r>
        <w:rPr>
          <w:rFonts w:hint="eastAsia" w:ascii="仿宋_GB2312" w:hAnsi="宋体" w:eastAsia="宋体" w:cs="宋体"/>
          <w:b/>
          <w:bCs/>
          <w:color w:val="333333"/>
          <w:kern w:val="0"/>
          <w:sz w:val="32"/>
          <w:szCs w:val="32"/>
        </w:rPr>
        <w:t>、其他事項</w:t>
      </w:r>
    </w:p>
    <w:p>
      <w:pPr>
        <w:widowControl/>
        <w:shd w:val="clear" w:color="auto" w:fill="FFFFFF"/>
        <w:spacing w:after="150" w:line="384" w:lineRule="auto"/>
        <w:ind w:firstLine="560"/>
        <w:rPr>
          <w:rFonts w:ascii="宋体" w:hAnsi="宋体" w:eastAsia="宋体" w:cs="宋体"/>
          <w:color w:val="4D4D4D"/>
          <w:kern w:val="0"/>
          <w:sz w:val="30"/>
          <w:szCs w:val="30"/>
        </w:rPr>
      </w:pPr>
      <w:r>
        <w:rPr>
          <w:rFonts w:hint="eastAsia" w:ascii="仿宋_GB2312" w:hAnsi="宋体" w:eastAsia="宋体" w:cs="宋体"/>
          <w:color w:val="4D4D4D"/>
          <w:kern w:val="0"/>
          <w:sz w:val="30"/>
          <w:szCs w:val="30"/>
        </w:rPr>
        <w:t>黃金ETF申購、贖回的其他事項，適用本所《交易型開放式指數基金業務實施細則》的規定。</w:t>
      </w:r>
    </w:p>
    <w:p>
      <w:pPr>
        <w:widowControl/>
        <w:shd w:val="clear" w:color="auto" w:fill="FFFFFF"/>
        <w:spacing w:after="150" w:line="384" w:lineRule="auto"/>
        <w:ind w:firstLine="560"/>
        <w:rPr>
          <w:rFonts w:ascii="宋体" w:hAnsi="宋体" w:eastAsia="宋体" w:cs="宋体"/>
          <w:color w:val="4D4D4D"/>
          <w:kern w:val="0"/>
          <w:sz w:val="30"/>
          <w:szCs w:val="30"/>
        </w:rPr>
      </w:pPr>
      <w:r>
        <w:rPr>
          <w:rFonts w:hint="eastAsia" w:ascii="仿宋_GB2312" w:hAnsi="宋体" w:eastAsia="宋体" w:cs="宋体"/>
          <w:color w:val="4D4D4D"/>
          <w:kern w:val="0"/>
          <w:sz w:val="30"/>
          <w:szCs w:val="30"/>
        </w:rPr>
        <w:t>黃金ETF的交易事項，適用本所《交易規則》中關於基金品種的有關規定。</w:t>
      </w:r>
    </w:p>
    <w:p>
      <w:pPr>
        <w:widowControl/>
        <w:shd w:val="clear" w:color="auto" w:fill="FFFFFF"/>
        <w:rPr>
          <w:rFonts w:ascii="仿宋_GB2312" w:hAnsi="宋体" w:eastAsia="仿宋_GB2312" w:cs="宋体"/>
          <w:b/>
          <w:bCs/>
          <w:color w:val="333333"/>
          <w:kern w:val="0"/>
          <w:sz w:val="32"/>
          <w:szCs w:val="32"/>
        </w:rPr>
      </w:pPr>
      <w:r>
        <w:rPr>
          <w:rFonts w:hint="eastAsia" w:ascii="仿宋_GB2312" w:hAnsi="宋体" w:eastAsia="宋体" w:cs="宋体"/>
          <w:b/>
          <w:bCs/>
          <w:color w:val="333333"/>
          <w:kern w:val="0"/>
          <w:sz w:val="32"/>
          <w:szCs w:val="32"/>
        </w:rPr>
        <w:t>十四、 本指南由本所負責解釋。</w:t>
      </w:r>
    </w:p>
    <w:p>
      <w:pPr>
        <w:widowControl/>
        <w:shd w:val="clear" w:color="auto" w:fill="FFFFFF"/>
        <w:rPr>
          <w:rFonts w:ascii="仿宋_GB2312" w:hAnsi="宋体" w:eastAsia="仿宋_GB2312" w:cs="宋体"/>
          <w:b/>
          <w:bCs/>
          <w:color w:val="333333"/>
          <w:kern w:val="0"/>
          <w:sz w:val="32"/>
          <w:szCs w:val="32"/>
        </w:rPr>
      </w:pPr>
      <w:r>
        <w:rPr>
          <w:rFonts w:hint="eastAsia" w:ascii="仿宋_GB2312" w:hAnsi="宋体" w:eastAsia="宋体" w:cs="宋体"/>
          <w:b/>
          <w:bCs/>
          <w:color w:val="333333"/>
          <w:kern w:val="0"/>
          <w:sz w:val="32"/>
          <w:szCs w:val="32"/>
        </w:rPr>
        <w:t>十五、本指南的相關內容與本所、金交所或者結算公司的業務規則不一致的，以相關業務規則的規定為准。</w:t>
      </w:r>
    </w:p>
    <w:p>
      <w:pPr>
        <w:widowControl/>
        <w:shd w:val="clear" w:color="auto" w:fill="FFFFFF"/>
        <w:rPr>
          <w:rFonts w:ascii="仿宋_GB2312" w:hAnsi="宋体" w:eastAsia="仿宋_GB2312" w:cs="宋体"/>
          <w:b/>
          <w:bCs/>
          <w:color w:val="333333"/>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inherit">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E4ZDQ1MTQ3NTY0MThjMTQzN2QzNzYyOGE5NTIxZjEifQ=="/>
  </w:docVars>
  <w:rsids>
    <w:rsidRoot w:val="00AB1931"/>
    <w:rsid w:val="00033117"/>
    <w:rsid w:val="0020680F"/>
    <w:rsid w:val="00657C07"/>
    <w:rsid w:val="007D2BB7"/>
    <w:rsid w:val="00A27EBE"/>
    <w:rsid w:val="00AB1931"/>
    <w:rsid w:val="00B86C92"/>
    <w:rsid w:val="00C5159D"/>
    <w:rsid w:val="00D92904"/>
    <w:rsid w:val="00F97396"/>
    <w:rsid w:val="771F1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7"/>
    <w:qFormat/>
    <w:uiPriority w:val="9"/>
    <w:pPr>
      <w:widowControl/>
      <w:spacing w:before="300" w:after="150"/>
      <w:jc w:val="left"/>
      <w:outlineLvl w:val="2"/>
    </w:pPr>
    <w:rPr>
      <w:rFonts w:ascii="inherit" w:hAnsi="inherit" w:eastAsia="宋体" w:cs="宋体"/>
      <w:kern w:val="0"/>
      <w:sz w:val="36"/>
      <w:szCs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3 Char"/>
    <w:basedOn w:val="6"/>
    <w:link w:val="2"/>
    <w:qFormat/>
    <w:uiPriority w:val="9"/>
    <w:rPr>
      <w:rFonts w:ascii="inherit" w:hAnsi="inherit" w:eastAsia="宋体" w:cs="宋体"/>
      <w:kern w:val="0"/>
      <w:sz w:val="36"/>
      <w:szCs w:val="36"/>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742</Words>
  <Characters>4236</Characters>
  <Lines>35</Lines>
  <Paragraphs>9</Paragraphs>
  <TotalTime>4</TotalTime>
  <ScaleCrop>false</ScaleCrop>
  <LinksUpToDate>false</LinksUpToDate>
  <CharactersWithSpaces>4969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2019-06-06T06:44:00Z</dcterms:created>
  <dc:creator>sse</dc:creator>
  <cp:lastModifiedBy>周强</cp:lastModifiedBy>
  <dcterms:modified xsi:type="dcterms:W3CDTF">2022-09-09T07:18:33Z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966CC365A4DB498FB3ADB3CA3DB73FCD</vt:lpwstr>
  </property>
</Properties>
</file>