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11"/>
        <w:rPr>
          <w:rFonts w:ascii="Times New Roman"/>
          <w:sz w:val="25"/>
        </w:rPr>
      </w:pPr>
    </w:p>
    <w:p>
      <w:pPr>
        <w:pStyle w:val="2"/>
        <w:spacing w:before="54"/>
        <w:ind w:left="109"/>
      </w:pPr>
      <w:r>
        <w:rPr>
          <w:rFonts w:eastAsia="宋体"/>
        </w:rPr>
        <w:t>附件</w:t>
      </w:r>
    </w:p>
    <w:p>
      <w:pPr>
        <w:pStyle w:val="2"/>
      </w:pPr>
    </w:p>
    <w:p>
      <w:pPr>
        <w:pStyle w:val="3"/>
        <w:spacing w:before="285" w:line="766" w:lineRule="exact"/>
        <w:ind w:right="248"/>
      </w:pPr>
      <w:r>
        <w:rPr>
          <w:rFonts w:eastAsia="宋体"/>
        </w:rPr>
        <w:t>深圳證券交</w:t>
      </w:r>
      <w:bookmarkStart w:id="0" w:name="_GoBack"/>
      <w:bookmarkEnd w:id="0"/>
      <w:r>
        <w:rPr>
          <w:rFonts w:eastAsia="宋体"/>
        </w:rPr>
        <w:t>易所證券投資基金業務指引第 1 號</w:t>
      </w:r>
    </w:p>
    <w:p>
      <w:pPr>
        <w:pStyle w:val="3"/>
      </w:pPr>
      <w:r>
        <w:rPr>
          <w:rFonts w:eastAsia="宋体"/>
        </w:rPr>
        <w:t>——指數基金開發</w:t>
      </w:r>
    </w:p>
    <w:p>
      <w:pPr>
        <w:pStyle w:val="2"/>
        <w:spacing w:before="13"/>
        <w:rPr>
          <w:rFonts w:ascii="Arial Unicode MS"/>
          <w:sz w:val="31"/>
        </w:rPr>
      </w:pPr>
    </w:p>
    <w:p>
      <w:pPr>
        <w:pStyle w:val="2"/>
        <w:spacing w:line="560" w:lineRule="exact"/>
        <w:ind w:left="109" w:right="268" w:firstLine="633"/>
        <w:jc w:val="both"/>
      </w:pPr>
      <w:r>
        <w:rPr>
          <w:rFonts w:hint="eastAsia" w:ascii="Microsoft JhengHei" w:eastAsia="宋体"/>
          <w:b/>
          <w:spacing w:val="7"/>
        </w:rPr>
        <w:t xml:space="preserve">第一條 </w:t>
      </w:r>
      <w:r>
        <w:rPr>
          <w:rFonts w:eastAsia="宋体"/>
        </w:rPr>
        <w:t>為規範深圳證券交易所（以下簡稱本所）公開募集</w:t>
      </w:r>
      <w:r>
        <w:rPr>
          <w:rFonts w:eastAsia="宋体"/>
          <w:spacing w:val="-5"/>
          <w:w w:val="95"/>
        </w:rPr>
        <w:t>指數證券投資基金</w:t>
      </w:r>
      <w:r>
        <w:rPr>
          <w:rFonts w:eastAsia="宋体"/>
          <w:spacing w:val="-3"/>
          <w:w w:val="95"/>
        </w:rPr>
        <w:t>（</w:t>
      </w:r>
      <w:r>
        <w:rPr>
          <w:rFonts w:eastAsia="宋体"/>
          <w:spacing w:val="-5"/>
          <w:w w:val="95"/>
        </w:rPr>
        <w:t>以下簡稱指數基金</w:t>
      </w:r>
      <w:r>
        <w:rPr>
          <w:rFonts w:eastAsia="宋体"/>
          <w:spacing w:val="-3"/>
          <w:w w:val="95"/>
        </w:rPr>
        <w:t>）</w:t>
      </w:r>
      <w:r>
        <w:rPr>
          <w:rFonts w:eastAsia="宋体"/>
          <w:spacing w:val="-5"/>
          <w:w w:val="95"/>
        </w:rPr>
        <w:t xml:space="preserve">相關業務活動，保護投 </w:t>
      </w:r>
      <w:r>
        <w:rPr>
          <w:rFonts w:eastAsia="宋体"/>
          <w:spacing w:val="-14"/>
          <w:w w:val="95"/>
        </w:rPr>
        <w:t>資者合法權益，根據《證券投資基金法</w:t>
      </w:r>
      <w:r>
        <w:rPr>
          <w:rFonts w:eastAsia="宋体"/>
          <w:spacing w:val="-23"/>
          <w:w w:val="95"/>
        </w:rPr>
        <w:t>》《公開募集證券投資基金</w:t>
      </w:r>
    </w:p>
    <w:p>
      <w:pPr>
        <w:pStyle w:val="2"/>
        <w:spacing w:before="128" w:line="326" w:lineRule="auto"/>
        <w:ind w:left="109" w:right="110"/>
      </w:pPr>
      <w:r>
        <w:rPr>
          <w:rFonts w:eastAsia="宋体"/>
          <w:spacing w:val="-20"/>
        </w:rPr>
        <w:t xml:space="preserve">運作指引第 </w:t>
      </w:r>
      <w:r>
        <w:rPr>
          <w:rFonts w:eastAsia="宋体"/>
        </w:rPr>
        <w:t>3</w:t>
      </w:r>
      <w:r>
        <w:rPr>
          <w:rFonts w:eastAsia="宋体"/>
          <w:spacing w:val="-15"/>
        </w:rPr>
        <w:t xml:space="preserve"> 號——指數基金指引</w:t>
      </w:r>
      <w:r>
        <w:rPr>
          <w:rFonts w:eastAsia="宋体"/>
          <w:spacing w:val="-240"/>
        </w:rPr>
        <w:t>》</w:t>
      </w:r>
      <w:r>
        <w:rPr>
          <w:rFonts w:eastAsia="宋体"/>
          <w:spacing w:val="-3"/>
        </w:rPr>
        <w:t>（</w:t>
      </w:r>
      <w:r>
        <w:rPr>
          <w:rFonts w:eastAsia="宋体"/>
          <w:spacing w:val="-26"/>
        </w:rPr>
        <w:t>以下簡稱《指數基金指引》</w:t>
      </w:r>
      <w:r>
        <w:rPr>
          <w:rFonts w:eastAsia="宋体"/>
        </w:rPr>
        <w:t xml:space="preserve">） </w:t>
      </w:r>
      <w:r>
        <w:rPr>
          <w:rFonts w:eastAsia="宋体"/>
          <w:spacing w:val="-11"/>
        </w:rPr>
        <w:t>以及《深圳證券交易所證券投資基金上市規則</w:t>
      </w:r>
      <w:r>
        <w:rPr>
          <w:rFonts w:eastAsia="宋体"/>
          <w:spacing w:val="-214"/>
        </w:rPr>
        <w:t>》</w:t>
      </w:r>
      <w:r>
        <w:rPr>
          <w:rFonts w:eastAsia="宋体"/>
          <w:spacing w:val="-5"/>
        </w:rPr>
        <w:t>（</w:t>
      </w:r>
      <w:r>
        <w:rPr>
          <w:rFonts w:eastAsia="宋体"/>
          <w:spacing w:val="-12"/>
        </w:rPr>
        <w:t>以下簡稱《基金</w:t>
      </w:r>
      <w:r>
        <w:rPr>
          <w:rFonts w:eastAsia="宋体"/>
          <w:spacing w:val="-36"/>
        </w:rPr>
        <w:t>上市規則》</w:t>
      </w:r>
      <w:r>
        <w:rPr>
          <w:rFonts w:eastAsia="宋体"/>
          <w:spacing w:val="-5"/>
        </w:rPr>
        <w:t>）等規定，制定本指引。</w:t>
      </w:r>
    </w:p>
    <w:p>
      <w:pPr>
        <w:pStyle w:val="2"/>
        <w:spacing w:line="490" w:lineRule="exact"/>
        <w:ind w:left="742"/>
      </w:pPr>
      <w:r>
        <w:rPr>
          <w:rFonts w:hint="eastAsia" w:ascii="Microsoft JhengHei" w:eastAsia="宋体"/>
          <w:b/>
        </w:rPr>
        <w:t xml:space="preserve">第二條 </w:t>
      </w:r>
      <w:r>
        <w:rPr>
          <w:rFonts w:eastAsia="宋体"/>
        </w:rPr>
        <w:t>本指引所稱指數基金，是指符合《指數基金指引》</w:t>
      </w:r>
    </w:p>
    <w:p>
      <w:pPr>
        <w:pStyle w:val="2"/>
        <w:spacing w:before="77" w:line="326" w:lineRule="auto"/>
        <w:ind w:left="109" w:right="271"/>
      </w:pPr>
      <w:r>
        <w:rPr>
          <w:rFonts w:eastAsia="宋体"/>
          <w:spacing w:val="-5"/>
          <w:w w:val="95"/>
        </w:rPr>
        <w:t xml:space="preserve">規定並在本所上市交易的指數基金，包括交易型開放式指數基金 </w:t>
      </w:r>
      <w:r>
        <w:rPr>
          <w:rFonts w:eastAsia="宋体"/>
          <w:spacing w:val="-5"/>
        </w:rPr>
        <w:t>和上市開放式指數基金。</w:t>
      </w:r>
    </w:p>
    <w:p>
      <w:pPr>
        <w:pStyle w:val="2"/>
        <w:spacing w:before="6" w:line="328" w:lineRule="auto"/>
        <w:ind w:left="109" w:right="268" w:firstLine="631"/>
        <w:jc w:val="both"/>
      </w:pPr>
      <w:r>
        <w:rPr>
          <w:rFonts w:eastAsia="宋体"/>
          <w:spacing w:val="-5"/>
          <w:w w:val="95"/>
        </w:rPr>
        <w:t xml:space="preserve">指數基金在本所的產品開發等業務活動，適用本指引；本指 </w:t>
      </w:r>
      <w:r>
        <w:rPr>
          <w:rFonts w:eastAsia="宋体"/>
          <w:spacing w:val="-14"/>
          <w:w w:val="95"/>
        </w:rPr>
        <w:t>引沒有規定的，適用《基金上市規則</w:t>
      </w:r>
      <w:r>
        <w:rPr>
          <w:rFonts w:eastAsia="宋体"/>
          <w:spacing w:val="-23"/>
          <w:w w:val="95"/>
        </w:rPr>
        <w:t xml:space="preserve">》《深圳證券交易所基金產品  </w:t>
      </w:r>
      <w:r>
        <w:rPr>
          <w:rFonts w:eastAsia="宋体"/>
          <w:spacing w:val="-21"/>
          <w:w w:val="95"/>
        </w:rPr>
        <w:t>開發與創新服務指引》</w:t>
      </w:r>
      <w:r>
        <w:rPr>
          <w:rFonts w:eastAsia="宋体"/>
          <w:spacing w:val="-5"/>
          <w:w w:val="95"/>
        </w:rPr>
        <w:t>（</w:t>
      </w:r>
      <w:r>
        <w:rPr>
          <w:rFonts w:eastAsia="宋体"/>
          <w:spacing w:val="-17"/>
          <w:w w:val="95"/>
        </w:rPr>
        <w:t>以下簡稱《基金產品開發指引》</w:t>
      </w:r>
      <w:r>
        <w:rPr>
          <w:rFonts w:eastAsia="宋体"/>
          <w:spacing w:val="-5"/>
          <w:w w:val="95"/>
        </w:rPr>
        <w:t>）</w:t>
      </w:r>
      <w:r>
        <w:rPr>
          <w:rFonts w:eastAsia="宋体"/>
          <w:spacing w:val="-2"/>
          <w:w w:val="95"/>
        </w:rPr>
        <w:t xml:space="preserve">等相關 </w:t>
      </w:r>
      <w:r>
        <w:rPr>
          <w:rFonts w:eastAsia="宋体"/>
          <w:spacing w:val="-3"/>
        </w:rPr>
        <w:t>規定。</w:t>
      </w:r>
    </w:p>
    <w:p>
      <w:pPr>
        <w:pStyle w:val="2"/>
        <w:spacing w:line="475" w:lineRule="exact"/>
        <w:ind w:left="742"/>
        <w:jc w:val="both"/>
      </w:pPr>
      <w:r>
        <w:rPr>
          <w:rFonts w:hint="eastAsia" w:ascii="Microsoft JhengHei" w:eastAsia="宋体"/>
          <w:b/>
        </w:rPr>
        <w:t xml:space="preserve">第三條 </w:t>
      </w:r>
      <w:r>
        <w:rPr>
          <w:rFonts w:eastAsia="宋体"/>
        </w:rPr>
        <w:t>基金管理人申請開發指數基金，應當做好人員配置、</w:t>
      </w:r>
    </w:p>
    <w:p>
      <w:pPr>
        <w:pStyle w:val="2"/>
        <w:spacing w:before="77"/>
        <w:ind w:left="109"/>
      </w:pPr>
      <w:r>
        <w:rPr>
          <w:rFonts w:eastAsia="宋体"/>
        </w:rPr>
        <w:t>業務制度及技術系統方面的準備工作。</w:t>
      </w:r>
    </w:p>
    <w:p>
      <w:pPr>
        <w:pStyle w:val="2"/>
        <w:spacing w:before="46"/>
        <w:ind w:left="742"/>
      </w:pPr>
      <w:r>
        <w:rPr>
          <w:rFonts w:hint="eastAsia" w:ascii="Microsoft JhengHei" w:eastAsia="宋体"/>
          <w:b/>
        </w:rPr>
        <w:t xml:space="preserve">第四條 </w:t>
      </w:r>
      <w:r>
        <w:rPr>
          <w:rFonts w:eastAsia="宋体"/>
        </w:rPr>
        <w:t>基金管理人申請開發股票指數基金，其標的指數為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2"/>
        </w:rPr>
      </w:pPr>
    </w:p>
    <w:p>
      <w:pPr>
        <w:spacing w:before="61"/>
        <w:ind w:left="0" w:right="536" w:firstLine="0"/>
        <w:jc w:val="right"/>
        <w:rPr>
          <w:sz w:val="28"/>
        </w:rPr>
      </w:pPr>
      <w:r>
        <w:rPr>
          <w:rFonts w:eastAsia="宋体"/>
          <w:sz w:val="28"/>
        </w:rPr>
        <w:t>— 1 —</w:t>
      </w:r>
    </w:p>
    <w:p>
      <w:pPr>
        <w:spacing w:after="0"/>
        <w:jc w:val="right"/>
        <w:rPr>
          <w:sz w:val="28"/>
        </w:rPr>
        <w:sectPr>
          <w:type w:val="continuous"/>
          <w:pgSz w:w="11910" w:h="16840"/>
          <w:pgMar w:top="1580" w:right="1200" w:bottom="280" w:left="148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4"/>
        </w:rPr>
      </w:pPr>
    </w:p>
    <w:p>
      <w:pPr>
        <w:pStyle w:val="2"/>
        <w:spacing w:before="54"/>
        <w:ind w:left="109"/>
      </w:pPr>
      <w:r>
        <w:rPr>
          <w:rFonts w:eastAsia="宋体"/>
        </w:rPr>
        <w:t>非寬基股票指數的，應當符合下列要求：</w:t>
      </w:r>
    </w:p>
    <w:p>
      <w:pPr>
        <w:pStyle w:val="2"/>
        <w:spacing w:before="150"/>
        <w:ind w:left="740"/>
      </w:pPr>
      <w:r>
        <w:rPr>
          <w:rFonts w:eastAsia="宋体"/>
        </w:rPr>
        <w:t>（一）成份證券數量不低於 30 只；</w:t>
      </w:r>
    </w:p>
    <w:p>
      <w:pPr>
        <w:pStyle w:val="2"/>
        <w:spacing w:before="151" w:line="326" w:lineRule="auto"/>
        <w:ind w:left="109" w:right="268" w:firstLine="631"/>
      </w:pPr>
      <w:r>
        <w:rPr>
          <w:rFonts w:eastAsia="宋体"/>
          <w:spacing w:val="-3"/>
        </w:rPr>
        <w:t>（二</w:t>
      </w:r>
      <w:r>
        <w:rPr>
          <w:rFonts w:eastAsia="宋体"/>
          <w:spacing w:val="-5"/>
        </w:rPr>
        <w:t>）</w:t>
      </w:r>
      <w:r>
        <w:rPr>
          <w:rFonts w:eastAsia="宋体"/>
          <w:spacing w:val="-10"/>
        </w:rPr>
        <w:t xml:space="preserve">單一成份證券權重不超過 </w:t>
      </w:r>
      <w:r>
        <w:rPr>
          <w:rFonts w:eastAsia="宋体"/>
          <w:spacing w:val="-3"/>
        </w:rPr>
        <w:t>15</w:t>
      </w:r>
      <w:r>
        <w:rPr>
          <w:rFonts w:eastAsia="宋体"/>
          <w:spacing w:val="-18"/>
        </w:rPr>
        <w:t xml:space="preserve">%且前 </w:t>
      </w:r>
      <w:r>
        <w:rPr>
          <w:rFonts w:eastAsia="宋体"/>
        </w:rPr>
        <w:t>5</w:t>
      </w:r>
      <w:r>
        <w:rPr>
          <w:rFonts w:eastAsia="宋体"/>
          <w:spacing w:val="-12"/>
        </w:rPr>
        <w:t xml:space="preserve"> 大成份證券權重</w:t>
      </w:r>
      <w:r>
        <w:rPr>
          <w:rFonts w:eastAsia="宋体"/>
          <w:spacing w:val="-15"/>
        </w:rPr>
        <w:t xml:space="preserve">合計占比不超過 </w:t>
      </w:r>
      <w:r>
        <w:rPr>
          <w:rFonts w:eastAsia="宋体"/>
          <w:spacing w:val="-3"/>
        </w:rPr>
        <w:t>60%；</w:t>
      </w:r>
    </w:p>
    <w:p>
      <w:pPr>
        <w:pStyle w:val="2"/>
        <w:spacing w:before="3" w:line="328" w:lineRule="auto"/>
        <w:ind w:left="109" w:right="108" w:firstLine="631"/>
      </w:pPr>
      <w:r>
        <w:rPr>
          <w:rFonts w:eastAsia="宋体"/>
          <w:spacing w:val="-3"/>
        </w:rPr>
        <w:t>（三</w:t>
      </w:r>
      <w:r>
        <w:rPr>
          <w:rFonts w:eastAsia="宋体"/>
          <w:spacing w:val="-82"/>
        </w:rPr>
        <w:t>）</w:t>
      </w:r>
      <w:r>
        <w:rPr>
          <w:rFonts w:eastAsia="宋体"/>
          <w:spacing w:val="-16"/>
        </w:rPr>
        <w:t xml:space="preserve">發佈時間不短於 </w:t>
      </w:r>
      <w:r>
        <w:rPr>
          <w:rFonts w:eastAsia="宋体"/>
        </w:rPr>
        <w:t>6</w:t>
      </w:r>
      <w:r>
        <w:rPr>
          <w:rFonts w:eastAsia="宋体"/>
          <w:spacing w:val="-17"/>
        </w:rPr>
        <w:t xml:space="preserve"> 個月，中國證監會認可的指數基金， </w:t>
      </w:r>
      <w:r>
        <w:rPr>
          <w:rFonts w:eastAsia="宋体"/>
          <w:spacing w:val="-5"/>
        </w:rPr>
        <w:t>其標的指數發佈時間要求可適當放寬；</w:t>
      </w:r>
    </w:p>
    <w:p>
      <w:pPr>
        <w:pStyle w:val="2"/>
        <w:spacing w:line="326" w:lineRule="auto"/>
        <w:ind w:left="109" w:right="268" w:firstLine="631"/>
      </w:pPr>
      <w:r>
        <w:rPr>
          <w:rFonts w:eastAsia="宋体"/>
          <w:spacing w:val="-3"/>
        </w:rPr>
        <w:t>（四</w:t>
      </w:r>
      <w:r>
        <w:rPr>
          <w:rFonts w:eastAsia="宋体"/>
          <w:spacing w:val="-5"/>
        </w:rPr>
        <w:t>）</w:t>
      </w:r>
      <w:r>
        <w:rPr>
          <w:rFonts w:eastAsia="宋体"/>
          <w:spacing w:val="-14"/>
        </w:rPr>
        <w:t xml:space="preserve">權重合計占比 </w:t>
      </w:r>
      <w:r>
        <w:rPr>
          <w:rFonts w:eastAsia="宋体"/>
          <w:spacing w:val="-3"/>
        </w:rPr>
        <w:t>90</w:t>
      </w:r>
      <w:r>
        <w:rPr>
          <w:rFonts w:eastAsia="宋体"/>
          <w:spacing w:val="-11"/>
        </w:rPr>
        <w:t xml:space="preserve">%以上的成份證券最近 </w:t>
      </w:r>
      <w:r>
        <w:rPr>
          <w:rFonts w:eastAsia="宋体"/>
        </w:rPr>
        <w:t>1</w:t>
      </w:r>
      <w:r>
        <w:rPr>
          <w:rFonts w:eastAsia="宋体"/>
          <w:spacing w:val="-15"/>
        </w:rPr>
        <w:t xml:space="preserve"> 年日均成交</w:t>
      </w:r>
      <w:r>
        <w:rPr>
          <w:rFonts w:eastAsia="宋体"/>
          <w:spacing w:val="-9"/>
        </w:rPr>
        <w:t xml:space="preserve">金額位於其所在證券交易所全部上市股票的前 </w:t>
      </w:r>
      <w:r>
        <w:rPr>
          <w:rFonts w:eastAsia="宋体"/>
          <w:spacing w:val="-4"/>
        </w:rPr>
        <w:t>80</w:t>
      </w:r>
      <w:r>
        <w:rPr>
          <w:rFonts w:eastAsia="宋体"/>
          <w:spacing w:val="-2"/>
        </w:rPr>
        <w:t>%。</w:t>
      </w:r>
    </w:p>
    <w:p>
      <w:pPr>
        <w:pStyle w:val="2"/>
        <w:spacing w:before="4" w:line="328" w:lineRule="auto"/>
        <w:ind w:left="109" w:right="270" w:firstLine="631"/>
        <w:jc w:val="both"/>
      </w:pPr>
      <w:r>
        <w:rPr>
          <w:rFonts w:eastAsia="宋体"/>
          <w:spacing w:val="-5"/>
          <w:w w:val="95"/>
        </w:rPr>
        <w:t xml:space="preserve">前款所述寬基股票指數，是指選樣範圍不限於特定行業或投 資主題，反映某個市場或某種規模股票表現的指數。寬基股票指 </w:t>
      </w:r>
      <w:r>
        <w:rPr>
          <w:rFonts w:eastAsia="宋体"/>
          <w:spacing w:val="6"/>
          <w:w w:val="95"/>
        </w:rPr>
        <w:t>數不受上述限制，但單一標的指數成份證券權重原則上不超過</w:t>
      </w:r>
      <w:r>
        <w:rPr>
          <w:rFonts w:eastAsia="宋体"/>
          <w:spacing w:val="-3"/>
        </w:rPr>
        <w:t>30</w:t>
      </w:r>
      <w:r>
        <w:rPr>
          <w:rFonts w:eastAsia="宋体"/>
          <w:spacing w:val="-2"/>
        </w:rPr>
        <w:t>%。</w:t>
      </w:r>
    </w:p>
    <w:p>
      <w:pPr>
        <w:pStyle w:val="2"/>
        <w:spacing w:line="328" w:lineRule="auto"/>
        <w:ind w:left="109" w:right="269" w:firstLine="631"/>
        <w:jc w:val="both"/>
      </w:pPr>
      <w:r>
        <w:rPr>
          <w:rFonts w:eastAsia="宋体"/>
          <w:spacing w:val="-5"/>
          <w:w w:val="95"/>
        </w:rPr>
        <w:t xml:space="preserve">基金管理人申請開發債券指數基金，其標的指數應當符合本 </w:t>
      </w:r>
      <w:r>
        <w:rPr>
          <w:rFonts w:eastAsia="宋体"/>
          <w:spacing w:val="-4"/>
          <w:w w:val="95"/>
        </w:rPr>
        <w:t>條第一款第</w:t>
      </w:r>
      <w:r>
        <w:rPr>
          <w:rFonts w:eastAsia="宋体"/>
          <w:spacing w:val="-5"/>
          <w:w w:val="95"/>
        </w:rPr>
        <w:t>（一</w:t>
      </w:r>
      <w:r>
        <w:rPr>
          <w:rFonts w:eastAsia="宋体"/>
          <w:spacing w:val="-3"/>
          <w:w w:val="95"/>
        </w:rPr>
        <w:t>）至</w:t>
      </w:r>
      <w:r>
        <w:rPr>
          <w:rFonts w:eastAsia="宋体"/>
          <w:spacing w:val="-5"/>
          <w:w w:val="95"/>
        </w:rPr>
        <w:t>（</w:t>
      </w:r>
      <w:r>
        <w:rPr>
          <w:rFonts w:eastAsia="宋体"/>
          <w:spacing w:val="-3"/>
          <w:w w:val="95"/>
        </w:rPr>
        <w:t>三）</w:t>
      </w:r>
      <w:r>
        <w:rPr>
          <w:rFonts w:eastAsia="宋体"/>
          <w:spacing w:val="-5"/>
          <w:w w:val="95"/>
        </w:rPr>
        <w:t xml:space="preserve">項要求，利率債（含國債、地方政府 </w:t>
      </w:r>
      <w:r>
        <w:rPr>
          <w:rFonts w:eastAsia="宋体"/>
          <w:spacing w:val="-5"/>
        </w:rPr>
        <w:t>債、政策性金融債</w:t>
      </w:r>
      <w:r>
        <w:rPr>
          <w:rFonts w:eastAsia="宋体"/>
          <w:spacing w:val="-3"/>
        </w:rPr>
        <w:t>）</w:t>
      </w:r>
      <w:r>
        <w:rPr>
          <w:rFonts w:eastAsia="宋体"/>
          <w:spacing w:val="-5"/>
        </w:rPr>
        <w:t>指數基金不受上述限制。</w:t>
      </w:r>
    </w:p>
    <w:p>
      <w:pPr>
        <w:pStyle w:val="2"/>
        <w:spacing w:line="326" w:lineRule="auto"/>
        <w:ind w:left="109" w:right="270" w:firstLine="631"/>
      </w:pPr>
      <w:r>
        <w:rPr>
          <w:rFonts w:eastAsia="宋体"/>
          <w:spacing w:val="-5"/>
          <w:w w:val="95"/>
        </w:rPr>
        <w:t xml:space="preserve">本指引施行前已經中國證監會核准或註冊的股票指數基金、 </w:t>
      </w:r>
      <w:r>
        <w:rPr>
          <w:rFonts w:eastAsia="宋体"/>
          <w:spacing w:val="-5"/>
        </w:rPr>
        <w:t>債券指數基金等不受上述限制。</w:t>
      </w:r>
    </w:p>
    <w:p>
      <w:pPr>
        <w:pStyle w:val="2"/>
        <w:spacing w:line="488" w:lineRule="exact"/>
        <w:ind w:left="742"/>
      </w:pPr>
      <w:r>
        <w:rPr>
          <w:rFonts w:hint="eastAsia" w:ascii="Microsoft JhengHei" w:eastAsia="宋体"/>
          <w:b/>
        </w:rPr>
        <w:t xml:space="preserve">第五條 </w:t>
      </w:r>
      <w:r>
        <w:rPr>
          <w:rFonts w:eastAsia="宋体"/>
        </w:rPr>
        <w:t>基金管理人申請開發股票指數基金或債券指數基</w:t>
      </w:r>
    </w:p>
    <w:p>
      <w:pPr>
        <w:pStyle w:val="2"/>
        <w:spacing w:before="64"/>
        <w:ind w:left="109"/>
      </w:pPr>
      <w:r>
        <w:rPr>
          <w:rFonts w:eastAsia="宋体"/>
        </w:rPr>
        <w:t>金，應當向本所提交以下材料：</w:t>
      </w:r>
    </w:p>
    <w:p>
      <w:pPr>
        <w:pStyle w:val="2"/>
        <w:spacing w:before="149"/>
        <w:ind w:left="740"/>
      </w:pPr>
      <w:r>
        <w:rPr>
          <w:rFonts w:eastAsia="宋体"/>
          <w:spacing w:val="-3"/>
        </w:rPr>
        <w:t>（一</w:t>
      </w:r>
      <w:r>
        <w:rPr>
          <w:rFonts w:eastAsia="宋体"/>
          <w:spacing w:val="-161"/>
        </w:rPr>
        <w:t>）</w:t>
      </w:r>
      <w:r>
        <w:rPr>
          <w:rFonts w:eastAsia="宋体"/>
          <w:spacing w:val="-5"/>
        </w:rPr>
        <w:t>《基金產品開發指引》要求的申請材料；</w:t>
      </w:r>
    </w:p>
    <w:p>
      <w:pPr>
        <w:pStyle w:val="2"/>
        <w:spacing w:before="152"/>
        <w:ind w:left="740"/>
      </w:pPr>
      <w:r>
        <w:rPr>
          <w:rFonts w:eastAsia="宋体"/>
        </w:rPr>
        <w:t>（二）標的指數編制方案；</w:t>
      </w:r>
    </w:p>
    <w:p>
      <w:pPr>
        <w:pStyle w:val="2"/>
        <w:spacing w:before="150"/>
        <w:ind w:left="740"/>
      </w:pPr>
      <w:r>
        <w:rPr>
          <w:rFonts w:eastAsia="宋体"/>
        </w:rPr>
        <w:t>（三）標的指數符合本指引第四條相關要求的說明及承諾。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21"/>
        </w:rPr>
      </w:pPr>
    </w:p>
    <w:p>
      <w:pPr>
        <w:spacing w:before="61"/>
        <w:ind w:left="392" w:right="0" w:firstLine="0"/>
        <w:jc w:val="left"/>
        <w:rPr>
          <w:sz w:val="28"/>
        </w:rPr>
      </w:pPr>
      <w:r>
        <w:rPr>
          <w:rFonts w:eastAsia="宋体"/>
          <w:sz w:val="28"/>
        </w:rPr>
        <w:t>— 2 —</w:t>
      </w:r>
    </w:p>
    <w:p>
      <w:pPr>
        <w:spacing w:after="0"/>
        <w:jc w:val="left"/>
        <w:rPr>
          <w:sz w:val="28"/>
        </w:rPr>
        <w:sectPr>
          <w:pgSz w:w="11910" w:h="16840"/>
          <w:pgMar w:top="1580" w:right="1200" w:bottom="280" w:left="148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4"/>
        </w:rPr>
      </w:pPr>
    </w:p>
    <w:p>
      <w:pPr>
        <w:pStyle w:val="2"/>
        <w:spacing w:before="54" w:line="328" w:lineRule="auto"/>
        <w:ind w:left="109" w:right="270" w:firstLine="631"/>
        <w:jc w:val="both"/>
      </w:pPr>
      <w:r>
        <w:rPr>
          <w:rFonts w:eastAsia="宋体"/>
          <w:spacing w:val="-5"/>
          <w:w w:val="95"/>
        </w:rPr>
        <w:t xml:space="preserve">標的指數或其編制方案在申請日符合本指引第四條的要求， 且相關申請符合《基金產品開發指引》規定的，本所向基金管理 </w:t>
      </w:r>
      <w:r>
        <w:rPr>
          <w:rFonts w:eastAsia="宋体"/>
          <w:spacing w:val="-5"/>
        </w:rPr>
        <w:t>人出具無異議函。</w:t>
      </w:r>
    </w:p>
    <w:p>
      <w:pPr>
        <w:pStyle w:val="2"/>
        <w:spacing w:line="478" w:lineRule="exact"/>
        <w:ind w:left="742"/>
        <w:jc w:val="both"/>
      </w:pPr>
      <w:r>
        <w:rPr>
          <w:rFonts w:hint="eastAsia" w:ascii="Microsoft JhengHei" w:eastAsia="宋体"/>
          <w:b/>
        </w:rPr>
        <w:t xml:space="preserve">第六條 </w:t>
      </w:r>
      <w:r>
        <w:rPr>
          <w:rFonts w:eastAsia="宋体"/>
        </w:rPr>
        <w:t>指數基金在本所上市交易前，基金管理人應當使基</w:t>
      </w:r>
    </w:p>
    <w:p>
      <w:pPr>
        <w:pStyle w:val="2"/>
        <w:spacing w:before="77" w:line="328" w:lineRule="auto"/>
        <w:ind w:left="109" w:right="271"/>
      </w:pPr>
      <w:r>
        <w:rPr>
          <w:rFonts w:eastAsia="宋体"/>
          <w:spacing w:val="-5"/>
          <w:w w:val="95"/>
        </w:rPr>
        <w:t xml:space="preserve">金的投資組合比例符合有關法律法規、部門規章、規範性檔的 </w:t>
      </w:r>
      <w:r>
        <w:rPr>
          <w:rFonts w:eastAsia="宋体"/>
          <w:spacing w:val="-5"/>
        </w:rPr>
        <w:t>規定和基金合同的有關約定。</w:t>
      </w:r>
    </w:p>
    <w:p>
      <w:pPr>
        <w:pStyle w:val="2"/>
        <w:spacing w:line="481" w:lineRule="exact"/>
        <w:ind w:left="742"/>
      </w:pPr>
      <w:r>
        <w:rPr>
          <w:rFonts w:hint="eastAsia" w:ascii="Microsoft JhengHei" w:eastAsia="宋体"/>
          <w:b/>
        </w:rPr>
        <w:t xml:space="preserve">第七條 </w:t>
      </w:r>
      <w:r>
        <w:rPr>
          <w:rFonts w:eastAsia="宋体"/>
        </w:rPr>
        <w:t>基金管理人違反本指引的，本所可以依據《基金上</w:t>
      </w:r>
    </w:p>
    <w:p>
      <w:pPr>
        <w:pStyle w:val="2"/>
        <w:spacing w:before="76" w:line="266" w:lineRule="auto"/>
        <w:ind w:left="742" w:right="585" w:hanging="634"/>
      </w:pPr>
      <w:r>
        <w:rPr>
          <w:rFonts w:eastAsia="宋体"/>
          <w:spacing w:val="-5"/>
          <w:w w:val="95"/>
        </w:rPr>
        <w:t xml:space="preserve">市規則》等相關規定，對其採取自律監管措施或者紀律處分。 </w:t>
      </w:r>
      <w:r>
        <w:rPr>
          <w:rFonts w:hint="eastAsia" w:ascii="Microsoft JhengHei" w:eastAsia="宋体"/>
          <w:b/>
          <w:spacing w:val="17"/>
        </w:rPr>
        <w:t xml:space="preserve">第八條 </w:t>
      </w:r>
      <w:r>
        <w:rPr>
          <w:rFonts w:eastAsia="宋体"/>
          <w:spacing w:val="-5"/>
        </w:rPr>
        <w:t>本指引由本所負責解釋。</w:t>
      </w:r>
    </w:p>
    <w:p>
      <w:pPr>
        <w:pStyle w:val="2"/>
        <w:spacing w:line="495" w:lineRule="exact"/>
        <w:ind w:left="742"/>
      </w:pPr>
      <w:r>
        <w:rPr>
          <w:rFonts w:hint="eastAsia" w:ascii="Microsoft JhengHei" w:eastAsia="宋体"/>
          <w:b/>
          <w:spacing w:val="17"/>
        </w:rPr>
        <w:t xml:space="preserve">第九條 </w:t>
      </w:r>
      <w:r>
        <w:rPr>
          <w:rFonts w:eastAsia="宋体"/>
          <w:spacing w:val="-19"/>
        </w:rPr>
        <w:t xml:space="preserve">本指引自 </w:t>
      </w:r>
      <w:r>
        <w:rPr>
          <w:rFonts w:eastAsia="宋体"/>
        </w:rPr>
        <w:t>2021</w:t>
      </w:r>
      <w:r>
        <w:rPr>
          <w:rFonts w:eastAsia="宋体"/>
          <w:spacing w:val="-57"/>
        </w:rPr>
        <w:t xml:space="preserve"> 年 </w:t>
      </w:r>
      <w:r>
        <w:rPr>
          <w:rFonts w:eastAsia="宋体"/>
        </w:rPr>
        <w:t>2</w:t>
      </w:r>
      <w:r>
        <w:rPr>
          <w:rFonts w:eastAsia="宋体"/>
          <w:spacing w:val="-56"/>
        </w:rPr>
        <w:t xml:space="preserve"> 月 </w:t>
      </w:r>
      <w:r>
        <w:rPr>
          <w:rFonts w:eastAsia="宋体"/>
        </w:rPr>
        <w:t>1</w:t>
      </w:r>
      <w:r>
        <w:rPr>
          <w:rFonts w:eastAsia="宋体"/>
          <w:spacing w:val="-18"/>
        </w:rPr>
        <w:t xml:space="preserve"> 日起施行。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20"/>
        </w:rPr>
      </w:pPr>
    </w:p>
    <w:p>
      <w:pPr>
        <w:spacing w:before="61"/>
        <w:ind w:left="0" w:right="536" w:firstLine="0"/>
        <w:jc w:val="right"/>
        <w:rPr>
          <w:sz w:val="28"/>
        </w:rPr>
      </w:pPr>
      <w:r>
        <w:rPr>
          <w:rFonts w:eastAsia="宋体"/>
          <w:sz w:val="28"/>
        </w:rPr>
        <w:t>— 3 —</w:t>
      </w:r>
    </w:p>
    <w:sectPr>
      <w:pgSz w:w="11910" w:h="16840"/>
      <w:pgMar w:top="1580" w:right="120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mE4ZDQ1MTQ3NTY0MThjMTQzN2QzNzYyOGE5NTIxZjEifQ=="/>
  </w:docVars>
  <w:rsids>
    <w:rsidRoot w:val="00000000"/>
    <w:rsid w:val="36C36E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ind w:left="91" w:right="246"/>
      <w:jc w:val="center"/>
    </w:pPr>
    <w:rPr>
      <w:rFonts w:ascii="Arial Unicode MS" w:hAnsi="Arial Unicode MS" w:eastAsia="Arial Unicode MS" w:cs="Arial Unicode MS"/>
      <w:sz w:val="44"/>
      <w:szCs w:val="44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2022-09-09T06:42:00Z</dcterms:created>
  <dc:creator>zhanghongwei</dc:creator>
  <cp:lastModifiedBy>周强</cp:lastModifiedBy>
  <dcterms:modified xsi:type="dcterms:W3CDTF">2022-09-09T06:42:33Z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2022-09-09T00:00:00Z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22D1ABEBA94043BBB0E75D82A28DACAF</vt:lpwstr>
  </property>
</Properties>
</file>