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bookmarkStart w:id="0" w:name="_GoBack"/>
      <w:bookmarkEnd w:id="0"/>
    </w:p>
    <w:p>
      <w:pPr>
        <w:pStyle w:val="2"/>
        <w:ind w:left="0"/>
        <w:rPr>
          <w:rFonts w:ascii="Times New Roman"/>
          <w:sz w:val="20"/>
        </w:rPr>
      </w:pPr>
    </w:p>
    <w:p>
      <w:pPr>
        <w:pStyle w:val="2"/>
        <w:spacing w:before="177"/>
      </w:pPr>
      <w:r>
        <w:rPr>
          <w:rFonts w:eastAsia="宋体"/>
        </w:rPr>
        <w:t>附件 2</w:t>
      </w:r>
    </w:p>
    <w:p>
      <w:pPr>
        <w:pStyle w:val="2"/>
        <w:ind w:left="0"/>
        <w:rPr>
          <w:sz w:val="32"/>
        </w:rPr>
      </w:pPr>
    </w:p>
    <w:p>
      <w:pPr>
        <w:pStyle w:val="3"/>
        <w:spacing w:before="220" w:line="211" w:lineRule="auto"/>
      </w:pPr>
      <w:r>
        <w:rPr>
          <w:rFonts w:eastAsia="宋体"/>
        </w:rPr>
        <w:t>關於《深圳證券交易所與境外證券交易所互聯互通存托憑證上市交易暫行</w:t>
      </w:r>
    </w:p>
    <w:p>
      <w:pPr>
        <w:pStyle w:val="3"/>
        <w:spacing w:line="705" w:lineRule="exact"/>
        <w:ind w:left="3233" w:right="3557"/>
      </w:pPr>
      <w:r>
        <w:rPr>
          <w:rFonts w:eastAsia="宋体"/>
        </w:rPr>
        <w:t>辦法》的說明</w:t>
      </w:r>
    </w:p>
    <w:p>
      <w:pPr>
        <w:pStyle w:val="2"/>
        <w:spacing w:before="5"/>
        <w:ind w:left="0"/>
        <w:rPr>
          <w:rFonts w:ascii="Arial Unicode MS"/>
          <w:sz w:val="41"/>
        </w:rPr>
      </w:pPr>
    </w:p>
    <w:p>
      <w:pPr>
        <w:pStyle w:val="2"/>
        <w:spacing w:line="340" w:lineRule="auto"/>
        <w:ind w:right="433" w:firstLine="646"/>
        <w:jc w:val="both"/>
      </w:pPr>
      <w:r>
        <w:rPr>
          <w:rFonts w:eastAsia="宋体"/>
          <w:spacing w:val="-3"/>
        </w:rPr>
        <w:t>為規範深圳證券交易所</w:t>
      </w:r>
      <w:r>
        <w:rPr>
          <w:rFonts w:eastAsia="宋体"/>
        </w:rPr>
        <w:t>（</w:t>
      </w:r>
      <w:r>
        <w:rPr>
          <w:rFonts w:eastAsia="宋体"/>
          <w:spacing w:val="3"/>
        </w:rPr>
        <w:t>以下簡稱本所</w:t>
      </w:r>
      <w:r>
        <w:rPr>
          <w:rFonts w:eastAsia="宋体"/>
          <w:spacing w:val="-46"/>
        </w:rPr>
        <w:t>）</w:t>
      </w:r>
      <w:r>
        <w:rPr>
          <w:rFonts w:eastAsia="宋体"/>
          <w:spacing w:val="2"/>
        </w:rPr>
        <w:t>與境外證券交易所</w:t>
      </w:r>
      <w:r>
        <w:rPr>
          <w:rFonts w:eastAsia="宋体"/>
          <w:spacing w:val="-4"/>
        </w:rPr>
        <w:t>互聯互通存托憑證上市、交易、跨境轉換和資訊披露業務，本所</w:t>
      </w:r>
      <w:r>
        <w:rPr>
          <w:rFonts w:eastAsia="宋体"/>
          <w:spacing w:val="-6"/>
        </w:rPr>
        <w:t>制定《深圳證券交易所與境外證券交易所互聯互通存托憑證上市</w:t>
      </w:r>
      <w:r>
        <w:rPr>
          <w:rFonts w:eastAsia="宋体"/>
          <w:spacing w:val="-18"/>
        </w:rPr>
        <w:t>交易暫行辦法》</w:t>
      </w:r>
      <w:r>
        <w:rPr>
          <w:rFonts w:eastAsia="宋体"/>
        </w:rPr>
        <w:t>（</w:t>
      </w:r>
      <w:r>
        <w:rPr>
          <w:rFonts w:eastAsia="宋体"/>
          <w:spacing w:val="-10"/>
        </w:rPr>
        <w:t>以下簡稱《暫行辦法》</w:t>
      </w:r>
      <w:r>
        <w:rPr>
          <w:rFonts w:eastAsia="宋体"/>
          <w:spacing w:val="-166"/>
        </w:rPr>
        <w:t>）</w:t>
      </w:r>
      <w:r>
        <w:rPr>
          <w:rFonts w:eastAsia="宋体"/>
          <w:spacing w:val="3"/>
        </w:rPr>
        <w:t>。現就制定情況說明如</w:t>
      </w:r>
      <w:r>
        <w:rPr>
          <w:rFonts w:eastAsia="宋体"/>
          <w:spacing w:val="15"/>
        </w:rPr>
        <w:t>下：</w:t>
      </w:r>
    </w:p>
    <w:p>
      <w:pPr>
        <w:pStyle w:val="2"/>
        <w:spacing w:line="385" w:lineRule="exact"/>
        <w:ind w:left="758"/>
      </w:pPr>
      <w:r>
        <w:rPr>
          <w:rFonts w:eastAsia="宋体"/>
        </w:rPr>
        <w:t>一、起草背景和規則定位</w:t>
      </w:r>
    </w:p>
    <w:p>
      <w:pPr>
        <w:pStyle w:val="2"/>
        <w:spacing w:before="158" w:line="340" w:lineRule="auto"/>
        <w:ind w:right="268" w:firstLine="646"/>
      </w:pPr>
      <w:r>
        <w:rPr>
          <w:rFonts w:eastAsia="宋体"/>
          <w:spacing w:val="-5"/>
        </w:rPr>
        <w:t>近期，中國證監會正式發佈《境內外證券交易所互聯互通存</w:t>
      </w:r>
      <w:r>
        <w:rPr>
          <w:rFonts w:eastAsia="宋体"/>
          <w:spacing w:val="-12"/>
          <w:w w:val="101"/>
        </w:rPr>
        <w:t>托憑證業務監管規定》</w:t>
      </w:r>
      <w:r>
        <w:rPr>
          <w:rFonts w:eastAsia="宋体"/>
          <w:spacing w:val="14"/>
          <w:w w:val="101"/>
        </w:rPr>
        <w:t>（</w:t>
      </w:r>
      <w:r>
        <w:rPr>
          <w:rFonts w:eastAsia="宋体"/>
          <w:spacing w:val="-12"/>
          <w:w w:val="101"/>
        </w:rPr>
        <w:t>以下簡稱《監管規定》</w:t>
      </w:r>
      <w:r>
        <w:rPr>
          <w:rFonts w:eastAsia="宋体"/>
          <w:spacing w:val="-166"/>
          <w:w w:val="101"/>
        </w:rPr>
        <w:t>）</w:t>
      </w:r>
      <w:r>
        <w:rPr>
          <w:rFonts w:eastAsia="宋体"/>
          <w:spacing w:val="4"/>
          <w:w w:val="101"/>
        </w:rPr>
        <w:t>，擴大了適用範</w:t>
      </w:r>
      <w:r>
        <w:rPr>
          <w:rFonts w:eastAsia="宋体"/>
          <w:spacing w:val="-4"/>
        </w:rPr>
        <w:t xml:space="preserve">圍，東向納入符合條件的深交所上市公司，西向拓展到瑞士、德 </w:t>
      </w:r>
      <w:r>
        <w:rPr>
          <w:rFonts w:eastAsia="宋体"/>
          <w:spacing w:val="-12"/>
        </w:rPr>
        <w:t>國；對中國存托憑證引入融資功能作出安排，調整優化財務資訊、</w:t>
      </w:r>
      <w:r>
        <w:rPr>
          <w:rFonts w:eastAsia="宋体"/>
          <w:spacing w:val="4"/>
        </w:rPr>
        <w:t>內控、年報及權益變動披露要求。</w:t>
      </w:r>
    </w:p>
    <w:p>
      <w:pPr>
        <w:pStyle w:val="2"/>
        <w:spacing w:line="338" w:lineRule="auto"/>
        <w:ind w:right="268" w:firstLine="646"/>
        <w:jc w:val="both"/>
      </w:pPr>
      <w:r>
        <w:rPr>
          <w:rFonts w:eastAsia="宋体"/>
        </w:rPr>
        <w:t>《暫行辦法》是本所專門規範互聯互通存托憑證業務的基本業務規則，根據《監管規定》要求和“滬倫通”運行經驗，就中 國存托憑證引入融資功能、優化持續監管和資訊披露要求、設置 跨境轉換機制、完善投資者保護等內容作出針對性、適應性安排。</w:t>
      </w:r>
    </w:p>
    <w:p>
      <w:pPr>
        <w:spacing w:after="0" w:line="338" w:lineRule="auto"/>
        <w:jc w:val="both"/>
        <w:sectPr>
          <w:footerReference r:id="rId5" w:type="default"/>
          <w:footerReference r:id="rId6" w:type="even"/>
          <w:type w:val="continuous"/>
          <w:pgSz w:w="11910" w:h="16850"/>
          <w:pgMar w:top="1600" w:right="1020" w:bottom="1420" w:left="1480" w:header="720" w:footer="1201" w:gutter="0"/>
          <w:pgNumType w:start="1"/>
          <w:cols w:space="720" w:num="1"/>
        </w:sectPr>
      </w:pPr>
    </w:p>
    <w:p>
      <w:pPr>
        <w:pStyle w:val="2"/>
        <w:ind w:left="0"/>
        <w:rPr>
          <w:sz w:val="20"/>
        </w:rPr>
      </w:pPr>
    </w:p>
    <w:p>
      <w:pPr>
        <w:pStyle w:val="2"/>
        <w:spacing w:before="12"/>
        <w:ind w:left="0"/>
        <w:rPr>
          <w:sz w:val="24"/>
        </w:rPr>
      </w:pPr>
    </w:p>
    <w:p>
      <w:pPr>
        <w:pStyle w:val="2"/>
        <w:spacing w:before="61"/>
        <w:ind w:left="758"/>
      </w:pPr>
      <w:r>
        <w:rPr>
          <w:rFonts w:eastAsia="宋体"/>
        </w:rPr>
        <w:t>二、基本原則</w:t>
      </w:r>
    </w:p>
    <w:p>
      <w:pPr>
        <w:pStyle w:val="2"/>
        <w:spacing w:before="159"/>
        <w:ind w:left="758"/>
      </w:pPr>
      <w:r>
        <w:rPr>
          <w:rFonts w:eastAsia="宋体"/>
        </w:rPr>
        <w:t>（一）以基本規則進行總體規範，配套相關業務指引</w:t>
      </w:r>
    </w:p>
    <w:p>
      <w:pPr>
        <w:pStyle w:val="2"/>
        <w:spacing w:before="173" w:line="338" w:lineRule="auto"/>
        <w:ind w:right="268" w:firstLine="646"/>
      </w:pPr>
      <w:r>
        <w:rPr>
          <w:rFonts w:eastAsia="宋体"/>
          <w:spacing w:val="-11"/>
        </w:rPr>
        <w:t>互聯互通存托憑證規則涵蓋範圍廣泛，涉及上市、持續監管、</w:t>
      </w:r>
      <w:r>
        <w:rPr>
          <w:rFonts w:eastAsia="宋体"/>
          <w:spacing w:val="-5"/>
        </w:rPr>
        <w:t xml:space="preserve">資訊披露、交易、跨境轉換等業務環節。因此，本所以《暫行辦 </w:t>
      </w:r>
      <w:r>
        <w:rPr>
          <w:rFonts w:eastAsia="宋体"/>
        </w:rPr>
        <w:t>法》為互聯互通存托憑證業務基本規則，同時就具體跨境轉換、</w:t>
      </w:r>
      <w:r>
        <w:rPr>
          <w:rFonts w:eastAsia="宋体"/>
          <w:spacing w:val="4"/>
        </w:rPr>
        <w:t>做市等業務制定專門配套指引。</w:t>
      </w:r>
    </w:p>
    <w:p>
      <w:pPr>
        <w:pStyle w:val="2"/>
        <w:spacing w:line="394" w:lineRule="exact"/>
        <w:ind w:left="758"/>
      </w:pPr>
      <w:r>
        <w:rPr>
          <w:rFonts w:eastAsia="宋体"/>
        </w:rPr>
        <w:t>（二）優化制度銜接，配合市場基礎制度改革統籌</w:t>
      </w:r>
    </w:p>
    <w:p>
      <w:pPr>
        <w:pStyle w:val="2"/>
        <w:spacing w:before="158" w:line="338" w:lineRule="auto"/>
        <w:ind w:right="433" w:firstLine="646"/>
        <w:jc w:val="both"/>
      </w:pPr>
      <w:r>
        <w:rPr>
          <w:rFonts w:eastAsia="宋体"/>
          <w:spacing w:val="-4"/>
        </w:rPr>
        <w:t>在制度設計上，優化跨境制度銜接，做好與市場基礎制度改</w:t>
      </w:r>
      <w:r>
        <w:rPr>
          <w:rFonts w:eastAsia="宋体"/>
        </w:rPr>
        <w:t>革的統籌對接和空間預留。一是做好審核銜接</w:t>
      </w:r>
      <w:r>
        <w:rPr>
          <w:rFonts w:eastAsia="宋体"/>
          <w:spacing w:val="-16"/>
        </w:rPr>
        <w:t>。《暫行辦法》明</w:t>
      </w:r>
      <w:r>
        <w:rPr>
          <w:rFonts w:eastAsia="宋体"/>
          <w:spacing w:val="-5"/>
        </w:rPr>
        <w:t>確境外發行人申請中國存托憑證在本所上市，由本所審核，並做好與中國證監會實施行政許可的銜接。二是完善持續監管。尊重</w:t>
      </w:r>
      <w:r>
        <w:rPr>
          <w:rFonts w:eastAsia="宋体"/>
          <w:spacing w:val="-4"/>
        </w:rPr>
        <w:t>境外市場資訊披露、持續監管規則和操作實踐，允許境外發行人申請調整適用。例如，在境外發行人的重大性、關聯交易披露方面做出適應性安排。增加終止上市條款，按主動和強制終止上市分類做出安排。三是優化交易制度。對中國存托憑證價格漲跌幅</w:t>
      </w:r>
      <w:r>
        <w:rPr>
          <w:rFonts w:eastAsia="宋体"/>
          <w:spacing w:val="-6"/>
        </w:rPr>
        <w:t>限制做出適應性安排，在競價交易制度下引入競爭性做市商的混合交易制度，參照國際慣例引入存托憑證與基礎股票的跨境轉換</w:t>
      </w:r>
      <w:r>
        <w:rPr>
          <w:rFonts w:eastAsia="宋体"/>
          <w:spacing w:val="10"/>
        </w:rPr>
        <w:t>機制。</w:t>
      </w:r>
    </w:p>
    <w:p>
      <w:pPr>
        <w:pStyle w:val="2"/>
        <w:spacing w:before="10"/>
        <w:ind w:left="758"/>
      </w:pPr>
      <w:r>
        <w:rPr>
          <w:rFonts w:eastAsia="宋体"/>
        </w:rPr>
        <w:t>（三）強化投資者保護安排，守牢風險防範底線</w:t>
      </w:r>
    </w:p>
    <w:p>
      <w:pPr>
        <w:pStyle w:val="2"/>
        <w:spacing w:before="159" w:line="340" w:lineRule="auto"/>
        <w:ind w:right="434" w:firstLine="646"/>
        <w:jc w:val="both"/>
      </w:pPr>
      <w:r>
        <w:rPr>
          <w:rFonts w:eastAsia="宋体"/>
          <w:spacing w:val="-6"/>
        </w:rPr>
        <w:t>《暫行辦法》著重從以下方面對投資者保護和防範風險作出規定：持續監管方面，要求境外發行人保障對中國境內投資者權益的保護總體上不低於中國法律、行政法規以及中國證監會規定</w:t>
      </w:r>
    </w:p>
    <w:p>
      <w:pPr>
        <w:spacing w:after="0" w:line="340" w:lineRule="auto"/>
        <w:jc w:val="both"/>
        <w:sectPr>
          <w:pgSz w:w="11910" w:h="16850"/>
          <w:pgMar w:top="1600" w:right="1020" w:bottom="1400" w:left="1480" w:header="0" w:footer="1231" w:gutter="0"/>
          <w:cols w:space="720" w:num="1"/>
        </w:sectPr>
      </w:pPr>
    </w:p>
    <w:p>
      <w:pPr>
        <w:pStyle w:val="2"/>
        <w:ind w:left="0"/>
        <w:rPr>
          <w:sz w:val="20"/>
        </w:rPr>
      </w:pPr>
    </w:p>
    <w:p>
      <w:pPr>
        <w:pStyle w:val="2"/>
        <w:spacing w:before="12"/>
        <w:ind w:left="0"/>
        <w:rPr>
          <w:sz w:val="24"/>
        </w:rPr>
      </w:pPr>
    </w:p>
    <w:p>
      <w:pPr>
        <w:pStyle w:val="2"/>
        <w:spacing w:before="61" w:line="340" w:lineRule="auto"/>
        <w:ind w:right="103"/>
      </w:pPr>
      <w:r>
        <w:rPr>
          <w:rFonts w:eastAsia="宋体"/>
          <w:spacing w:val="-6"/>
        </w:rPr>
        <w:t xml:space="preserve">的要求，並就中國存托憑證終止上市後投資者保護事項作出規定； </w:t>
      </w:r>
      <w:r>
        <w:rPr>
          <w:rFonts w:eastAsia="宋体"/>
          <w:spacing w:val="-5"/>
        </w:rPr>
        <w:t xml:space="preserve">交易方面，實行投資者適當性管理制度；自律管理方面，強化市  </w:t>
      </w:r>
      <w:r>
        <w:rPr>
          <w:rFonts w:eastAsia="宋体"/>
          <w:spacing w:val="4"/>
        </w:rPr>
        <w:t>場主體責任，維護市場有序運行。</w:t>
      </w:r>
    </w:p>
    <w:p>
      <w:pPr>
        <w:pStyle w:val="2"/>
        <w:spacing w:line="387" w:lineRule="exact"/>
        <w:ind w:left="758"/>
      </w:pPr>
      <w:r>
        <w:rPr>
          <w:rFonts w:eastAsia="宋体"/>
        </w:rPr>
        <w:t>三、主要內容</w:t>
      </w:r>
    </w:p>
    <w:p>
      <w:pPr>
        <w:pStyle w:val="2"/>
        <w:spacing w:before="159" w:line="338" w:lineRule="auto"/>
        <w:ind w:right="269" w:firstLine="646"/>
      </w:pPr>
      <w:r>
        <w:rPr>
          <w:rFonts w:eastAsia="宋体"/>
          <w:spacing w:val="-4"/>
        </w:rPr>
        <w:t>《暫行辦法》共八章一百三十一條，包括總則、中國存托憑</w:t>
      </w:r>
      <w:r>
        <w:rPr>
          <w:rFonts w:eastAsia="宋体"/>
          <w:spacing w:val="-5"/>
        </w:rPr>
        <w:t xml:space="preserve">證上市、中國存托憑證持續資訊披露、中國存托憑證交易、中國 </w:t>
      </w:r>
      <w:r>
        <w:rPr>
          <w:rFonts w:eastAsia="宋体"/>
        </w:rPr>
        <w:t>存托憑證終止上市、全球存托憑證相關事項、自律管理及附則。</w:t>
      </w:r>
      <w:r>
        <w:rPr>
          <w:rFonts w:eastAsia="宋体"/>
          <w:spacing w:val="9"/>
        </w:rPr>
        <w:t>重點內容如下：</w:t>
      </w:r>
    </w:p>
    <w:p>
      <w:pPr>
        <w:pStyle w:val="2"/>
        <w:spacing w:before="12" w:line="336" w:lineRule="auto"/>
        <w:ind w:right="433" w:firstLine="646"/>
      </w:pPr>
      <w:r>
        <w:rPr>
          <w:rFonts w:eastAsia="宋体"/>
        </w:rPr>
        <w:t>（一）明確適用範圍及管理對象，強化投資者保護義務（第一章 總則）</w:t>
      </w:r>
    </w:p>
    <w:p>
      <w:pPr>
        <w:pStyle w:val="2"/>
        <w:spacing w:line="338" w:lineRule="auto"/>
        <w:ind w:right="434" w:firstLine="646"/>
        <w:jc w:val="both"/>
      </w:pPr>
      <w:r>
        <w:rPr>
          <w:rFonts w:eastAsia="宋体"/>
          <w:spacing w:val="-5"/>
        </w:rPr>
        <w:t>一是明確了《暫行辦法》的制定目的和依據、適用範圍及自</w:t>
      </w:r>
      <w:r>
        <w:rPr>
          <w:rFonts w:eastAsia="宋体"/>
          <w:spacing w:val="-3"/>
        </w:rPr>
        <w:t>律管理對象。二是明確境外發行人及中國存托憑證保薦人、存托</w:t>
      </w:r>
      <w:r>
        <w:rPr>
          <w:rFonts w:eastAsia="宋体"/>
          <w:spacing w:val="-5"/>
        </w:rPr>
        <w:t>人及相關證券服務機構等應切實履行投資者權益保護義務。三是</w:t>
      </w:r>
      <w:r>
        <w:rPr>
          <w:rFonts w:eastAsia="宋体"/>
          <w:spacing w:val="6"/>
        </w:rPr>
        <w:t>明確登記結算等基本事項。</w:t>
      </w:r>
    </w:p>
    <w:p>
      <w:pPr>
        <w:pStyle w:val="2"/>
        <w:spacing w:before="10" w:line="336" w:lineRule="auto"/>
        <w:ind w:right="433" w:firstLine="646"/>
        <w:jc w:val="both"/>
      </w:pPr>
      <w:r>
        <w:rPr>
          <w:rFonts w:eastAsia="宋体"/>
        </w:rPr>
        <w:t>（二）建立中國存托憑證上市及審核相關機制，明確相關流程及披露要求（第二章 中國存托憑證上市）</w:t>
      </w:r>
    </w:p>
    <w:p>
      <w:pPr>
        <w:pStyle w:val="2"/>
        <w:spacing w:line="345" w:lineRule="auto"/>
        <w:ind w:right="428" w:firstLine="646"/>
        <w:jc w:val="both"/>
      </w:pPr>
      <w:r>
        <w:rPr>
          <w:rFonts w:eastAsia="宋体"/>
          <w:spacing w:val="-4"/>
        </w:rPr>
        <w:t>一是明確了上市條件，包括公開發行條件、市值標準</w:t>
      </w:r>
      <w:r>
        <w:rPr>
          <w:rFonts w:eastAsia="宋体"/>
        </w:rPr>
        <w:t>（市值</w:t>
      </w:r>
      <w:r>
        <w:rPr>
          <w:rFonts w:eastAsia="宋体"/>
          <w:spacing w:val="-2"/>
        </w:rPr>
        <w:t xml:space="preserve">不低於 </w:t>
      </w:r>
      <w:r>
        <w:rPr>
          <w:rFonts w:eastAsia="宋体"/>
          <w:spacing w:val="4"/>
        </w:rPr>
        <w:t>200</w:t>
      </w:r>
      <w:r>
        <w:rPr>
          <w:rFonts w:eastAsia="宋体"/>
          <w:spacing w:val="-14"/>
        </w:rPr>
        <w:t xml:space="preserve"> 億元</w:t>
      </w:r>
      <w:r>
        <w:rPr>
          <w:rFonts w:eastAsia="宋体"/>
          <w:spacing w:val="-166"/>
        </w:rPr>
        <w:t>）</w:t>
      </w:r>
      <w:r>
        <w:rPr>
          <w:rFonts w:eastAsia="宋体"/>
          <w:spacing w:val="-38"/>
        </w:rPr>
        <w:t>、上市年限</w:t>
      </w:r>
      <w:r>
        <w:rPr>
          <w:rFonts w:eastAsia="宋体"/>
        </w:rPr>
        <w:t>（境外上市滿 3</w:t>
      </w:r>
      <w:r>
        <w:rPr>
          <w:rFonts w:eastAsia="宋体"/>
          <w:spacing w:val="-20"/>
        </w:rPr>
        <w:t xml:space="preserve"> 年</w:t>
      </w:r>
      <w:r>
        <w:rPr>
          <w:rFonts w:eastAsia="宋体"/>
          <w:spacing w:val="-166"/>
        </w:rPr>
        <w:t>）</w:t>
      </w:r>
      <w:r>
        <w:rPr>
          <w:rFonts w:eastAsia="宋体"/>
          <w:spacing w:val="-41"/>
        </w:rPr>
        <w:t>、初始規模</w:t>
      </w:r>
      <w:r>
        <w:rPr>
          <w:rFonts w:eastAsia="宋体"/>
          <w:spacing w:val="3"/>
        </w:rPr>
        <w:t>（5000</w:t>
      </w:r>
    </w:p>
    <w:p>
      <w:pPr>
        <w:pStyle w:val="2"/>
        <w:spacing w:line="379" w:lineRule="exact"/>
        <w:jc w:val="both"/>
      </w:pPr>
      <w:r>
        <w:rPr>
          <w:rFonts w:eastAsia="宋体"/>
          <w:spacing w:val="8"/>
        </w:rPr>
        <w:t xml:space="preserve">萬份及 </w:t>
      </w:r>
      <w:r>
        <w:rPr>
          <w:rFonts w:eastAsia="宋体"/>
        </w:rPr>
        <w:t>5</w:t>
      </w:r>
      <w:r>
        <w:rPr>
          <w:rFonts w:eastAsia="宋体"/>
          <w:spacing w:val="7"/>
        </w:rPr>
        <w:t xml:space="preserve"> 億元市值以上</w:t>
      </w:r>
      <w:r>
        <w:rPr>
          <w:rFonts w:eastAsia="宋体"/>
          <w:spacing w:val="-166"/>
        </w:rPr>
        <w:t>）</w:t>
      </w:r>
      <w:r>
        <w:rPr>
          <w:rFonts w:eastAsia="宋体"/>
        </w:rPr>
        <w:t>。二是規定了交易所審核的相關事項。</w:t>
      </w:r>
    </w:p>
    <w:p>
      <w:pPr>
        <w:pStyle w:val="2"/>
        <w:spacing w:before="157" w:line="345" w:lineRule="auto"/>
        <w:ind w:right="420"/>
      </w:pPr>
      <w:r>
        <w:rPr>
          <w:rFonts w:eastAsia="宋体"/>
        </w:rPr>
        <w:t>三是明確了中國存托憑證建立初始流動性的相關要求及上市申請檔和披露事項。</w:t>
      </w:r>
    </w:p>
    <w:p>
      <w:pPr>
        <w:pStyle w:val="2"/>
        <w:spacing w:line="379" w:lineRule="exact"/>
        <w:ind w:left="758"/>
      </w:pPr>
      <w:r>
        <w:rPr>
          <w:rFonts w:eastAsia="宋体"/>
        </w:rPr>
        <w:t>（三）明確中國存托憑證持續資訊披露基本原則和要求，規</w:t>
      </w:r>
    </w:p>
    <w:p>
      <w:pPr>
        <w:spacing w:after="0" w:line="379" w:lineRule="exact"/>
        <w:sectPr>
          <w:pgSz w:w="11910" w:h="16850"/>
          <w:pgMar w:top="1600" w:right="1020" w:bottom="1420" w:left="1480" w:header="0" w:footer="1201" w:gutter="0"/>
          <w:cols w:space="720" w:num="1"/>
        </w:sectPr>
      </w:pPr>
    </w:p>
    <w:p>
      <w:pPr>
        <w:pStyle w:val="2"/>
        <w:ind w:left="0"/>
        <w:rPr>
          <w:sz w:val="20"/>
        </w:rPr>
      </w:pPr>
    </w:p>
    <w:p>
      <w:pPr>
        <w:pStyle w:val="2"/>
        <w:spacing w:before="12"/>
        <w:ind w:left="0"/>
        <w:rPr>
          <w:sz w:val="24"/>
        </w:rPr>
      </w:pPr>
    </w:p>
    <w:p>
      <w:pPr>
        <w:pStyle w:val="2"/>
        <w:spacing w:before="61" w:line="336" w:lineRule="auto"/>
        <w:ind w:right="434"/>
      </w:pPr>
      <w:r>
        <w:rPr>
          <w:rFonts w:eastAsia="宋体"/>
        </w:rPr>
        <w:t>定定期報告、臨時報告等相關事項（第三章 中國存托憑證持續資訊披露）</w:t>
      </w:r>
    </w:p>
    <w:p>
      <w:pPr>
        <w:pStyle w:val="2"/>
        <w:spacing w:before="14" w:line="338" w:lineRule="auto"/>
        <w:ind w:right="269" w:firstLine="646"/>
      </w:pPr>
      <w:r>
        <w:rPr>
          <w:rFonts w:eastAsia="宋体"/>
        </w:rPr>
        <w:t>一是境外發行人和相關資訊披露義務人需要遵循公平披露、</w:t>
      </w:r>
      <w:r>
        <w:rPr>
          <w:rFonts w:eastAsia="宋体"/>
          <w:spacing w:val="-3"/>
        </w:rPr>
        <w:t xml:space="preserve">同時披露和一致性披露原則。二是對定期報告的內容格式、審計 </w:t>
      </w:r>
      <w:r>
        <w:rPr>
          <w:rFonts w:eastAsia="宋体"/>
          <w:spacing w:val="-4"/>
        </w:rPr>
        <w:t xml:space="preserve">作出規定，明確重大交易、關聯交易的披露標準。三是對中國存 </w:t>
      </w:r>
      <w:r>
        <w:rPr>
          <w:rFonts w:eastAsia="宋体"/>
          <w:spacing w:val="-5"/>
        </w:rPr>
        <w:t xml:space="preserve">托憑證持有人權利行使及披露、存托計畫的持續披露、權益變動 </w:t>
      </w:r>
      <w:r>
        <w:rPr>
          <w:rFonts w:eastAsia="宋体"/>
        </w:rPr>
        <w:t>披露、境內市場集中度披露、停複牌事項等問題作了專門規定。</w:t>
      </w:r>
    </w:p>
    <w:p>
      <w:pPr>
        <w:pStyle w:val="2"/>
        <w:spacing w:line="345" w:lineRule="auto"/>
        <w:ind w:right="433" w:firstLine="646"/>
      </w:pPr>
      <w:r>
        <w:rPr>
          <w:rFonts w:eastAsia="宋体"/>
        </w:rPr>
        <w:t>（四）建立中國存托憑證投資者適當性管理制度，明確中國存托憑證交易與跨境轉換機制（第四章 中國存托憑證交易）</w:t>
      </w:r>
    </w:p>
    <w:p>
      <w:pPr>
        <w:pStyle w:val="2"/>
        <w:spacing w:line="379" w:lineRule="exact"/>
        <w:ind w:left="758"/>
      </w:pPr>
      <w:r>
        <w:rPr>
          <w:rFonts w:eastAsia="宋体"/>
        </w:rPr>
        <w:t>一是具體規定了中國存托憑證交易的投資者適當性條件和</w:t>
      </w:r>
    </w:p>
    <w:p>
      <w:pPr>
        <w:pStyle w:val="2"/>
        <w:spacing w:before="151" w:line="338" w:lineRule="auto"/>
        <w:ind w:right="433"/>
        <w:jc w:val="both"/>
      </w:pPr>
      <w:r>
        <w:rPr>
          <w:rFonts w:eastAsia="宋体"/>
        </w:rPr>
        <w:t>要求。二是明確了中國存托憑證的差異化交易機制，如做市商制度、漲跌幅限制、上市首日價格基準等。三是明確了跨境轉換的運作和監管要求，對跨境轉換的業務流程、跨境轉換機構的備案管理和規範運作要求、糾錯機制等作出了具體規定。</w:t>
      </w:r>
    </w:p>
    <w:p>
      <w:pPr>
        <w:pStyle w:val="2"/>
        <w:spacing w:before="12" w:line="336" w:lineRule="auto"/>
        <w:ind w:right="433" w:firstLine="646"/>
      </w:pPr>
      <w:r>
        <w:rPr>
          <w:rFonts w:eastAsia="宋体"/>
        </w:rPr>
        <w:t>（五）建立中國存托憑證終止上市機制，明確相關流程及投資者保護安排（第五章 中國存托憑證終止上市）</w:t>
      </w:r>
    </w:p>
    <w:p>
      <w:pPr>
        <w:pStyle w:val="2"/>
        <w:spacing w:line="340" w:lineRule="auto"/>
        <w:ind w:right="269" w:firstLine="646"/>
      </w:pPr>
      <w:r>
        <w:rPr>
          <w:rFonts w:eastAsia="宋体"/>
        </w:rPr>
        <w:t>一是區分主動終止上市、強制終止上市等不同退市情形，作出差異化安排，對終止上市流程、聽證、復核等問題進行明確。二是對中國存托憑證投資者保護安排作了專門規定。</w:t>
      </w:r>
    </w:p>
    <w:p>
      <w:pPr>
        <w:pStyle w:val="2"/>
        <w:spacing w:line="345" w:lineRule="auto"/>
        <w:ind w:right="434" w:firstLine="646"/>
      </w:pPr>
      <w:r>
        <w:rPr>
          <w:rFonts w:eastAsia="宋体"/>
        </w:rPr>
        <w:t>（六）規定全球存托憑證相關事項，明確基礎股票上市及全球存托憑證跨境轉換要求（第六章 全球存托憑證相關事項）</w:t>
      </w:r>
    </w:p>
    <w:p>
      <w:pPr>
        <w:pStyle w:val="2"/>
        <w:spacing w:line="379" w:lineRule="exact"/>
        <w:ind w:left="758"/>
      </w:pPr>
      <w:r>
        <w:rPr>
          <w:rFonts w:eastAsia="宋体"/>
        </w:rPr>
        <w:t>一是明確境內上市公司申請基礎股票上市的要求、應當在本</w:t>
      </w:r>
    </w:p>
    <w:p>
      <w:pPr>
        <w:spacing w:after="0" w:line="379" w:lineRule="exact"/>
        <w:sectPr>
          <w:pgSz w:w="11910" w:h="16850"/>
          <w:pgMar w:top="1600" w:right="1020" w:bottom="1400" w:left="1480" w:header="0" w:footer="1231" w:gutter="0"/>
          <w:cols w:space="720" w:num="1"/>
        </w:sectPr>
      </w:pPr>
    </w:p>
    <w:p>
      <w:pPr>
        <w:pStyle w:val="2"/>
        <w:ind w:left="0"/>
        <w:rPr>
          <w:sz w:val="20"/>
        </w:rPr>
      </w:pPr>
    </w:p>
    <w:p>
      <w:pPr>
        <w:pStyle w:val="2"/>
        <w:spacing w:before="12"/>
        <w:ind w:left="0"/>
        <w:rPr>
          <w:sz w:val="24"/>
        </w:rPr>
      </w:pPr>
    </w:p>
    <w:p>
      <w:pPr>
        <w:pStyle w:val="2"/>
        <w:spacing w:before="61" w:line="336" w:lineRule="auto"/>
        <w:ind w:right="434"/>
      </w:pPr>
      <w:r>
        <w:rPr>
          <w:rFonts w:eastAsia="宋体"/>
          <w:spacing w:val="-6"/>
        </w:rPr>
        <w:t>所市場披露的全球存托憑證有關事項。二是明確全球存托憑證跨</w:t>
      </w:r>
      <w:r>
        <w:rPr>
          <w:rFonts w:eastAsia="宋体"/>
        </w:rPr>
        <w:t>境轉換機構、全球存托憑證存托人的備案及監管要求。</w:t>
      </w:r>
    </w:p>
    <w:p>
      <w:pPr>
        <w:pStyle w:val="2"/>
        <w:spacing w:before="14" w:line="336" w:lineRule="auto"/>
        <w:ind w:right="433" w:firstLine="646"/>
      </w:pPr>
      <w:r>
        <w:rPr>
          <w:rFonts w:eastAsia="宋体"/>
        </w:rPr>
        <w:t>（七）明確自律管理相關措施，強化主體責任要求（第七章自律管理）</w:t>
      </w:r>
    </w:p>
    <w:p>
      <w:pPr>
        <w:pStyle w:val="2"/>
        <w:spacing w:line="340" w:lineRule="auto"/>
        <w:ind w:right="434" w:firstLine="601"/>
      </w:pPr>
      <w:r>
        <w:rPr>
          <w:rFonts w:eastAsia="宋体"/>
        </w:rPr>
        <w:t xml:space="preserve">一是明確本所對參與互聯互通存托憑證業務的市場主體可 </w:t>
      </w:r>
      <w:r>
        <w:rPr>
          <w:rFonts w:eastAsia="宋体"/>
          <w:spacing w:val="-6"/>
        </w:rPr>
        <w:t>以採取日常工作措施。二是對相關主體違規行為可以採取自律監</w:t>
      </w:r>
      <w:r>
        <w:rPr>
          <w:rFonts w:eastAsia="宋体"/>
          <w:spacing w:val="7"/>
        </w:rPr>
        <w:t>管措施或者紀律處分。</w:t>
      </w:r>
    </w:p>
    <w:p>
      <w:pPr>
        <w:pStyle w:val="2"/>
        <w:spacing w:line="387" w:lineRule="exact"/>
        <w:ind w:left="758"/>
      </w:pPr>
      <w:r>
        <w:rPr>
          <w:rFonts w:eastAsia="宋体"/>
        </w:rPr>
        <w:t>四、徵求意見及採納情況</w:t>
      </w:r>
    </w:p>
    <w:p>
      <w:pPr>
        <w:pStyle w:val="2"/>
        <w:spacing w:before="173" w:line="338" w:lineRule="auto"/>
        <w:ind w:right="433" w:firstLine="646"/>
        <w:jc w:val="both"/>
      </w:pPr>
      <w:r>
        <w:rPr>
          <w:rFonts w:eastAsia="宋体"/>
          <w:spacing w:val="1"/>
        </w:rPr>
        <w:t xml:space="preserve">徵求意見期間，共收到針對《暫行辦法》的意見 </w:t>
      </w:r>
      <w:r>
        <w:rPr>
          <w:rFonts w:eastAsia="宋体"/>
          <w:spacing w:val="-4"/>
        </w:rPr>
        <w:t>32</w:t>
      </w:r>
      <w:r>
        <w:rPr>
          <w:rFonts w:eastAsia="宋体"/>
          <w:spacing w:val="4"/>
        </w:rPr>
        <w:t xml:space="preserve"> 條，總</w:t>
      </w:r>
      <w:r>
        <w:rPr>
          <w:rFonts w:eastAsia="宋体"/>
          <w:spacing w:val="-5"/>
        </w:rPr>
        <w:t>體上市場各方予以積極肯定，具體意見主要集中在簡化資訊披露</w:t>
      </w:r>
      <w:r>
        <w:rPr>
          <w:rFonts w:eastAsia="宋体"/>
          <w:spacing w:val="-4"/>
        </w:rPr>
        <w:t>要求、完善退市投資者保護規定、縮短全球存托憑證境內新增基</w:t>
      </w:r>
      <w:r>
        <w:rPr>
          <w:rFonts w:eastAsia="宋体"/>
          <w:spacing w:val="-5"/>
        </w:rPr>
        <w:t>礎證券上市申請材料提交期限等方面。經認真研究，我們積極採</w:t>
      </w:r>
      <w:r>
        <w:rPr>
          <w:rFonts w:eastAsia="宋体"/>
          <w:spacing w:val="-4"/>
        </w:rPr>
        <w:t>納吸收相關意見建議，並對《暫行辦法》做了相應完善。對於條</w:t>
      </w:r>
      <w:r>
        <w:rPr>
          <w:rFonts w:eastAsia="宋体"/>
          <w:spacing w:val="-6"/>
        </w:rPr>
        <w:t>文理解方面的意見，我們已通過徵求意見座談會和問答等形式作</w:t>
      </w:r>
      <w:r>
        <w:rPr>
          <w:rFonts w:eastAsia="宋体"/>
          <w:spacing w:val="15"/>
        </w:rPr>
        <w:t>出溝通解釋。</w:t>
      </w:r>
    </w:p>
    <w:p>
      <w:pPr>
        <w:pStyle w:val="2"/>
        <w:spacing w:line="395" w:lineRule="exact"/>
        <w:ind w:left="758"/>
      </w:pPr>
      <w:r>
        <w:rPr>
          <w:rFonts w:eastAsia="宋体"/>
        </w:rPr>
        <w:t>特此說明。</w:t>
      </w:r>
    </w:p>
    <w:sectPr>
      <w:pgSz w:w="11910" w:h="16850"/>
      <w:pgMar w:top="1600" w:right="1020" w:bottom="1420" w:left="1480" w:header="0" w:footer="12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049" o:spid="_x0000_s2049" o:spt="202" type="#_x0000_t202" style="position:absolute;left:0pt;margin-left:461.55pt;margin-top:769.65pt;height:16.3pt;width:54.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26" w:lineRule="exact"/>
                  <w:ind w:left="20" w:right="0" w:firstLine="0"/>
                  <w:jc w:val="left"/>
                  <w:rPr>
                    <w:sz w:val="28"/>
                  </w:rPr>
                </w:pPr>
                <w:r>
                  <w:rPr>
                    <w:rFonts w:eastAsia="宋体"/>
                    <w:sz w:val="28"/>
                  </w:rPr>
                  <w:t xml:space="preserve">— </w:t>
                </w:r>
                <w:r>
                  <w:fldChar w:fldCharType="begin"/>
                </w:r>
                <w:r>
                  <w:rPr>
                    <w:sz w:val="28"/>
                  </w:rPr>
                  <w:instrText xml:space="preserve"> PAGE </w:instrText>
                </w:r>
                <w:r>
                  <w:fldChar w:fldCharType="separate"/>
                </w:r>
                <w:r>
                  <w:rPr>
                    <w:rFonts w:eastAsia="宋体"/>
                  </w:rPr>
                  <w:t>1</w:t>
                </w:r>
                <w:r>
                  <w:fldChar w:fldCharType="end"/>
                </w:r>
                <w:r>
                  <w:rPr>
                    <w:rFonts w:eastAsia="宋体"/>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050" o:spid="_x0000_s2050" o:spt="202" type="#_x0000_t202" style="position:absolute;left:0pt;margin-left:91.35pt;margin-top:771.15pt;height:16.3pt;width:54.5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26" w:lineRule="exact"/>
                  <w:ind w:left="20" w:right="0" w:firstLine="0"/>
                  <w:jc w:val="left"/>
                  <w:rPr>
                    <w:sz w:val="28"/>
                  </w:rPr>
                </w:pPr>
                <w:r>
                  <w:rPr>
                    <w:rFonts w:eastAsia="宋体"/>
                    <w:sz w:val="28"/>
                  </w:rPr>
                  <w:t xml:space="preserve">— </w:t>
                </w:r>
                <w:r>
                  <w:fldChar w:fldCharType="begin"/>
                </w:r>
                <w:r>
                  <w:rPr>
                    <w:sz w:val="28"/>
                  </w:rPr>
                  <w:instrText xml:space="preserve"> PAGE </w:instrText>
                </w:r>
                <w:r>
                  <w:fldChar w:fldCharType="separate"/>
                </w:r>
                <w:r>
                  <w:rPr>
                    <w:rFonts w:eastAsia="宋体"/>
                  </w:rPr>
                  <w:t>2</w:t>
                </w:r>
                <w:r>
                  <w:fldChar w:fldCharType="end"/>
                </w:r>
                <w:r>
                  <w:rPr>
                    <w:rFonts w:eastAsia="宋体"/>
                    <w:sz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mE4ZDQ1MTQ3NTY0MThjMTQzN2QzNzYyOGE5NTIxZjEifQ=="/>
  </w:docVars>
  <w:rsids>
    <w:rsidRoot w:val="00000000"/>
    <w:rsid w:val="48F041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11"/>
    </w:pPr>
    <w:rPr>
      <w:rFonts w:ascii="宋体" w:hAnsi="宋体" w:eastAsia="宋体" w:cs="宋体"/>
      <w:sz w:val="31"/>
      <w:szCs w:val="31"/>
      <w:lang w:val="en-US" w:eastAsia="zh-CN" w:bidi="ar-SA"/>
    </w:rPr>
  </w:style>
  <w:style w:type="paragraph" w:styleId="3">
    <w:name w:val="Title"/>
    <w:basedOn w:val="1"/>
    <w:qFormat/>
    <w:uiPriority w:val="1"/>
    <w:pPr>
      <w:ind w:left="607" w:right="947"/>
      <w:jc w:val="center"/>
    </w:pPr>
    <w:rPr>
      <w:rFonts w:ascii="Arial Unicode MS" w:hAnsi="Arial Unicode MS" w:eastAsia="Arial Unicode MS" w:cs="Arial Unicode MS"/>
      <w:sz w:val="43"/>
      <w:szCs w:val="43"/>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en-US" w:eastAsia="zh-CN" w:bidi="ar-SA"/>
    </w:rPr>
  </w:style>
  <w:style w:type="paragraph" w:customStyle="1" w:styleId="8">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2022-09-09T06:40:00Z</dcterms:created>
  <dc:creator>周芬行</dc:creator>
  <cp:lastModifiedBy>周强</cp:lastModifiedBy>
  <dcterms:modified xsi:type="dcterms:W3CDTF">2022-09-09T06:40:50Z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Microsoft® Word 2010</vt:lpwstr>
  </property>
  <property fmtid="{D5CDD505-2E9C-101B-9397-08002B2CF9AE}" pid="4" name="LastSaved">
    <vt:filetime>2022-09-09T00:00:00Z</vt:filetime>
  </property>
  <property fmtid="{D5CDD505-2E9C-101B-9397-08002B2CF9AE}" pid="5" name="KSOProductBuildVer">
    <vt:lpwstr>2052-11.1.0.12358</vt:lpwstr>
  </property>
  <property fmtid="{D5CDD505-2E9C-101B-9397-08002B2CF9AE}" pid="6" name="ICV">
    <vt:lpwstr>BD64DD566F504CC79D7C9389B252CA4B</vt:lpwstr>
  </property>
</Properties>
</file>