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77"/>
        <w:ind w:left="111"/>
      </w:pPr>
      <w:r>
        <w:rPr>
          <w:rFonts w:eastAsia="宋体"/>
        </w:rPr>
        <w:t>附件 2</w:t>
      </w:r>
    </w:p>
    <w:p>
      <w:pPr>
        <w:pStyle w:val="2"/>
        <w:spacing w:before="7"/>
        <w:rPr>
          <w:sz w:val="47"/>
        </w:rPr>
      </w:pPr>
    </w:p>
    <w:p>
      <w:pPr>
        <w:pStyle w:val="3"/>
        <w:spacing w:line="288" w:lineRule="auto"/>
      </w:pPr>
      <w:r>
        <w:rPr>
          <w:rFonts w:eastAsia="宋体"/>
        </w:rPr>
        <w:t>關於《深圳證券交</w:t>
      </w:r>
      <w:bookmarkStart w:id="0" w:name="_GoBack"/>
      <w:bookmarkEnd w:id="0"/>
      <w:r>
        <w:rPr>
          <w:rFonts w:eastAsia="宋体"/>
        </w:rPr>
        <w:t>易所互聯互通存托憑證業務指引第 2 號——中國存托憑證做市》的說明</w:t>
      </w:r>
    </w:p>
    <w:p>
      <w:pPr>
        <w:pStyle w:val="2"/>
        <w:spacing w:before="10"/>
        <w:rPr>
          <w:sz w:val="53"/>
        </w:rPr>
      </w:pPr>
    </w:p>
    <w:p>
      <w:pPr>
        <w:pStyle w:val="2"/>
        <w:spacing w:line="338" w:lineRule="auto"/>
        <w:ind w:left="111" w:right="414" w:firstLine="646"/>
        <w:jc w:val="both"/>
      </w:pPr>
      <w:r>
        <w:rPr>
          <w:rFonts w:eastAsia="宋体"/>
          <w:spacing w:val="-3"/>
        </w:rPr>
        <w:t>為了規範深圳證券交易所</w:t>
      </w:r>
      <w:r>
        <w:rPr>
          <w:rFonts w:eastAsia="宋体"/>
          <w:spacing w:val="14"/>
        </w:rPr>
        <w:t>（</w:t>
      </w:r>
      <w:r>
        <w:rPr>
          <w:rFonts w:eastAsia="宋体"/>
          <w:spacing w:val="4"/>
        </w:rPr>
        <w:t>以下簡稱本所</w:t>
      </w:r>
      <w:r>
        <w:rPr>
          <w:rFonts w:eastAsia="宋体"/>
          <w:spacing w:val="-60"/>
        </w:rPr>
        <w:t>）</w:t>
      </w:r>
      <w:r>
        <w:rPr>
          <w:rFonts w:eastAsia="宋体"/>
          <w:spacing w:val="2"/>
        </w:rPr>
        <w:t>與境外證券交易</w:t>
      </w:r>
      <w:r>
        <w:rPr>
          <w:rFonts w:eastAsia="宋体"/>
          <w:spacing w:val="-6"/>
        </w:rPr>
        <w:t>所互聯互通中國存托憑證做市業務，提高中國存托憑證二級市場</w:t>
      </w:r>
      <w:r>
        <w:rPr>
          <w:rFonts w:eastAsia="宋体"/>
          <w:spacing w:val="-4"/>
        </w:rPr>
        <w:t>流動性，完善市場價格發現機制，制定《深圳證券交易所互聯互</w:t>
      </w:r>
      <w:r>
        <w:rPr>
          <w:rFonts w:eastAsia="宋体"/>
          <w:spacing w:val="3"/>
        </w:rPr>
        <w:t xml:space="preserve">通存托憑證業務指引第 </w:t>
      </w:r>
      <w:r>
        <w:rPr>
          <w:rFonts w:eastAsia="宋体"/>
        </w:rPr>
        <w:t>2</w:t>
      </w:r>
      <w:r>
        <w:rPr>
          <w:rFonts w:eastAsia="宋体"/>
          <w:spacing w:val="-9"/>
        </w:rPr>
        <w:t xml:space="preserve"> 號——中國存托憑證做市》</w:t>
      </w:r>
      <w:r>
        <w:rPr>
          <w:rFonts w:eastAsia="宋体"/>
        </w:rPr>
        <w:t>（</w:t>
      </w:r>
      <w:r>
        <w:rPr>
          <w:rFonts w:eastAsia="宋体"/>
          <w:spacing w:val="3"/>
        </w:rPr>
        <w:t>以下簡稱</w:t>
      </w:r>
    </w:p>
    <w:p>
      <w:pPr>
        <w:pStyle w:val="2"/>
        <w:spacing w:line="394" w:lineRule="exact"/>
        <w:ind w:left="111"/>
      </w:pPr>
      <w:r>
        <w:rPr>
          <w:rFonts w:eastAsia="宋体"/>
        </w:rPr>
        <w:t>《做市指引》）。現將相關情況說明如下：</w:t>
      </w:r>
    </w:p>
    <w:p>
      <w:pPr>
        <w:pStyle w:val="2"/>
        <w:spacing w:before="158"/>
        <w:ind w:left="758"/>
      </w:pPr>
      <w:r>
        <w:rPr>
          <w:rFonts w:eastAsia="宋体"/>
        </w:rPr>
        <w:t>一、起草背景</w:t>
      </w:r>
    </w:p>
    <w:p>
      <w:pPr>
        <w:pStyle w:val="2"/>
        <w:spacing w:before="174" w:line="338" w:lineRule="auto"/>
        <w:ind w:left="111" w:right="413" w:firstLine="646"/>
        <w:jc w:val="both"/>
      </w:pPr>
      <w:r>
        <w:rPr>
          <w:rFonts w:eastAsia="宋体"/>
          <w:spacing w:val="-5"/>
        </w:rPr>
        <w:t>做市商提供雙邊報價等服務，有助於增加市場流動性與市場</w:t>
      </w:r>
      <w:r>
        <w:rPr>
          <w:rFonts w:eastAsia="宋体"/>
          <w:spacing w:val="-3"/>
        </w:rPr>
        <w:t>深度，提高價格發現能力，促進市場合理定價，引導市場參與者</w:t>
      </w:r>
      <w:r>
        <w:rPr>
          <w:rFonts w:eastAsia="宋体"/>
          <w:spacing w:val="-4"/>
        </w:rPr>
        <w:t>理性投資，為投資者提供必要保護。考慮到境內外證券交易所存</w:t>
      </w:r>
      <w:r>
        <w:rPr>
          <w:rFonts w:eastAsia="宋体"/>
          <w:spacing w:val="-3"/>
        </w:rPr>
        <w:t>在時區差異，投資者對境外發行人的熟悉程度有限，對中國存托</w:t>
      </w:r>
      <w:r>
        <w:rPr>
          <w:rFonts w:eastAsia="宋体"/>
          <w:spacing w:val="-6"/>
        </w:rPr>
        <w:t>憑證的產品特性還存在熟悉過程，在互聯互通中國存托憑證業務</w:t>
      </w:r>
      <w:r>
        <w:rPr>
          <w:rFonts w:eastAsia="宋体"/>
          <w:spacing w:val="-4"/>
        </w:rPr>
        <w:t>中引入做市商機制，對市場健康發展具有重要意義。因此，本所</w:t>
      </w:r>
      <w:r>
        <w:rPr>
          <w:rFonts w:eastAsia="宋体"/>
          <w:spacing w:val="-5"/>
        </w:rPr>
        <w:t>引入中國存托憑證做市商制度，制定《做市指引》，對中國存托</w:t>
      </w:r>
      <w:r>
        <w:rPr>
          <w:rFonts w:eastAsia="宋体"/>
          <w:spacing w:val="5"/>
        </w:rPr>
        <w:t>憑證做市業務安排進行規範。</w:t>
      </w:r>
    </w:p>
    <w:p>
      <w:pPr>
        <w:pStyle w:val="2"/>
        <w:spacing w:line="391" w:lineRule="exact"/>
        <w:ind w:left="758"/>
      </w:pPr>
      <w:r>
        <w:rPr>
          <w:rFonts w:eastAsia="宋体"/>
        </w:rPr>
        <w:t>二、制定原則</w:t>
      </w:r>
    </w:p>
    <w:p>
      <w:pPr>
        <w:pStyle w:val="2"/>
        <w:spacing w:before="173"/>
        <w:ind w:left="758"/>
      </w:pPr>
      <w:r>
        <w:rPr>
          <w:rFonts w:eastAsia="宋体"/>
        </w:rPr>
        <w:t>（一）全面性原則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243"/>
        <w:ind w:left="0" w:right="459" w:firstLine="0"/>
        <w:jc w:val="right"/>
        <w:rPr>
          <w:sz w:val="28"/>
        </w:rPr>
      </w:pPr>
      <w:r>
        <w:rPr>
          <w:rFonts w:eastAsia="宋体"/>
          <w:sz w:val="28"/>
        </w:rPr>
        <w:t>— 1 —</w:t>
      </w:r>
    </w:p>
    <w:p>
      <w:pPr>
        <w:spacing w:after="0"/>
        <w:jc w:val="right"/>
        <w:rPr>
          <w:sz w:val="28"/>
        </w:rPr>
        <w:sectPr>
          <w:type w:val="continuous"/>
          <w:pgSz w:w="11910" w:h="16850"/>
          <w:pgMar w:top="1600" w:right="1040" w:bottom="280" w:left="14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before="61" w:line="340" w:lineRule="auto"/>
        <w:ind w:left="111" w:right="414" w:firstLine="646"/>
        <w:jc w:val="both"/>
      </w:pPr>
      <w:r>
        <w:rPr>
          <w:rFonts w:eastAsia="宋体"/>
        </w:rPr>
        <w:t>《做市指引》涵蓋了中國存托憑證做市業務申請與終止、做市商權利與義務、監督管理等內容，全面規範做市業務，為做市商開展業務提供制度支持。</w:t>
      </w:r>
    </w:p>
    <w:p>
      <w:pPr>
        <w:pStyle w:val="2"/>
        <w:spacing w:line="387" w:lineRule="exact"/>
        <w:ind w:left="758"/>
      </w:pPr>
      <w:r>
        <w:rPr>
          <w:rFonts w:eastAsia="宋体"/>
        </w:rPr>
        <w:t>（二）一致性原則</w:t>
      </w:r>
    </w:p>
    <w:p>
      <w:pPr>
        <w:pStyle w:val="2"/>
        <w:spacing w:before="159" w:line="345" w:lineRule="auto"/>
        <w:ind w:left="111" w:right="99" w:firstLine="646"/>
      </w:pPr>
      <w:r>
        <w:rPr>
          <w:rFonts w:eastAsia="宋体"/>
        </w:rPr>
        <w:t>《做市指引》與滬市相應指引條款基本一致，有利於降低證 券經營機構開展做市業務的系統投入和運營成本，提高市場效率。</w:t>
      </w:r>
    </w:p>
    <w:p>
      <w:pPr>
        <w:pStyle w:val="2"/>
        <w:spacing w:line="379" w:lineRule="exact"/>
        <w:ind w:left="758"/>
      </w:pPr>
      <w:r>
        <w:rPr>
          <w:rFonts w:eastAsia="宋体"/>
        </w:rPr>
        <w:t>（三）包容性原則</w:t>
      </w:r>
    </w:p>
    <w:p>
      <w:pPr>
        <w:pStyle w:val="2"/>
        <w:spacing w:before="158" w:line="338" w:lineRule="auto"/>
        <w:ind w:left="111" w:right="413" w:firstLine="646"/>
        <w:jc w:val="both"/>
      </w:pPr>
      <w:r>
        <w:rPr>
          <w:rFonts w:eastAsia="宋体"/>
          <w:spacing w:val="-6"/>
        </w:rPr>
        <w:t>《做市指引》為未來業務發展和市場情形應對預留了規則空間，對中國存托憑證做市業務各個環節僅做整體框架性和原則性規定，具體評價指標、標準和計算方法等將在相應的業務指南和</w:t>
      </w:r>
      <w:r>
        <w:rPr>
          <w:rFonts w:eastAsia="宋体"/>
          <w:spacing w:val="7"/>
        </w:rPr>
        <w:t>做市協議中明確。</w:t>
      </w:r>
    </w:p>
    <w:p>
      <w:pPr>
        <w:pStyle w:val="2"/>
        <w:spacing w:before="12"/>
        <w:ind w:left="758"/>
      </w:pPr>
      <w:r>
        <w:rPr>
          <w:rFonts w:eastAsia="宋体"/>
        </w:rPr>
        <w:t>三、規則主要內容</w:t>
      </w:r>
    </w:p>
    <w:p>
      <w:pPr>
        <w:pStyle w:val="2"/>
        <w:spacing w:before="158" w:line="340" w:lineRule="auto"/>
        <w:ind w:left="111" w:right="249" w:firstLine="646"/>
      </w:pPr>
      <w:r>
        <w:rPr>
          <w:rFonts w:eastAsia="宋体"/>
        </w:rPr>
        <w:t>《做市指引》共五章，二十五條。第一章“總則”；第二章“申請與終止開展做市業務”；第三章“做市商權利與義務”； 第四章“自律管理”；第五章“附則”。主要內容如下：</w:t>
      </w:r>
    </w:p>
    <w:p>
      <w:pPr>
        <w:pStyle w:val="2"/>
        <w:spacing w:line="387" w:lineRule="exact"/>
        <w:ind w:left="758"/>
      </w:pPr>
      <w:r>
        <w:rPr>
          <w:rFonts w:eastAsia="宋体"/>
        </w:rPr>
        <w:t>（一） 總則</w:t>
      </w:r>
    </w:p>
    <w:p>
      <w:pPr>
        <w:pStyle w:val="2"/>
        <w:spacing w:before="158" w:line="345" w:lineRule="auto"/>
        <w:ind w:left="111" w:right="414" w:firstLine="646"/>
      </w:pPr>
      <w:r>
        <w:rPr>
          <w:rFonts w:eastAsia="宋体"/>
        </w:rPr>
        <w:t>《做市指引》明確了制定目的與依據、適用範圍，明確了做市商的定義和對做市商的基本要求。</w:t>
      </w:r>
    </w:p>
    <w:p>
      <w:pPr>
        <w:pStyle w:val="2"/>
        <w:spacing w:line="379" w:lineRule="exact"/>
        <w:ind w:left="758"/>
        <w:jc w:val="both"/>
      </w:pPr>
      <w:r>
        <w:rPr>
          <w:rFonts w:eastAsia="宋体"/>
        </w:rPr>
        <w:t>（二） 申請與終止開展做市業務</w:t>
      </w:r>
    </w:p>
    <w:p>
      <w:pPr>
        <w:pStyle w:val="2"/>
        <w:spacing w:before="158" w:line="340" w:lineRule="auto"/>
        <w:ind w:left="111" w:right="414" w:firstLine="646"/>
        <w:jc w:val="both"/>
      </w:pPr>
      <w:r>
        <w:rPr>
          <w:rFonts w:eastAsia="宋体"/>
        </w:rPr>
        <w:t>《做市指引》規定了申請開展做市業務的條件、申請材料和流程。做市業務的申請分為兩個階段：符合條件的會員可向本所申請開展中國存托憑證做市業務，在通過核查後，做市商應向本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8"/>
        </w:rPr>
      </w:pPr>
    </w:p>
    <w:p>
      <w:pPr>
        <w:spacing w:before="65"/>
        <w:ind w:left="397" w:right="0" w:firstLine="0"/>
        <w:jc w:val="left"/>
        <w:rPr>
          <w:sz w:val="28"/>
        </w:rPr>
      </w:pPr>
      <w:r>
        <w:rPr>
          <w:rFonts w:eastAsia="宋体"/>
          <w:sz w:val="28"/>
        </w:rPr>
        <w:t>— 2 —</w:t>
      </w:r>
    </w:p>
    <w:p>
      <w:pPr>
        <w:spacing w:after="0"/>
        <w:jc w:val="left"/>
        <w:rPr>
          <w:sz w:val="28"/>
        </w:rPr>
        <w:sectPr>
          <w:pgSz w:w="11910" w:h="16850"/>
          <w:pgMar w:top="1600" w:right="1040" w:bottom="280" w:left="14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before="61"/>
        <w:ind w:left="111"/>
      </w:pPr>
      <w:r>
        <w:rPr>
          <w:rFonts w:eastAsia="宋体"/>
        </w:rPr>
        <w:t>所申請為單只或多只特定中國存托憑證開展做市業務。</w:t>
      </w:r>
    </w:p>
    <w:p>
      <w:pPr>
        <w:pStyle w:val="2"/>
        <w:spacing w:before="159"/>
        <w:ind w:left="758"/>
      </w:pPr>
      <w:r>
        <w:rPr>
          <w:rFonts w:eastAsia="宋体"/>
        </w:rPr>
        <w:t>（三） 做市商權利與義務</w:t>
      </w:r>
    </w:p>
    <w:p>
      <w:pPr>
        <w:pStyle w:val="2"/>
        <w:spacing w:before="173" w:line="336" w:lineRule="auto"/>
        <w:ind w:left="111" w:right="223" w:firstLine="646"/>
      </w:pPr>
      <w:r>
        <w:rPr>
          <w:rFonts w:eastAsia="宋体"/>
        </w:rPr>
        <w:t>中國存托憑證採取競爭性做市商制度。《做市指引》明確了做市基本規則、專用證券帳戶、做市商權利義務及退出機制等。</w:t>
      </w:r>
    </w:p>
    <w:p>
      <w:pPr>
        <w:pStyle w:val="2"/>
        <w:spacing w:line="396" w:lineRule="exact"/>
        <w:ind w:left="758"/>
      </w:pPr>
      <w:r>
        <w:rPr>
          <w:rFonts w:eastAsia="宋体"/>
        </w:rPr>
        <w:t>（四） 自律管理</w:t>
      </w:r>
    </w:p>
    <w:p>
      <w:pPr>
        <w:pStyle w:val="2"/>
        <w:spacing w:before="173" w:line="336" w:lineRule="auto"/>
        <w:ind w:left="111" w:right="249" w:firstLine="646"/>
      </w:pPr>
      <w:r>
        <w:rPr>
          <w:rFonts w:eastAsia="宋体"/>
        </w:rPr>
        <w:t xml:space="preserve">《做市指引》規定了做市商的技術系統、內控制度等要求， </w:t>
      </w:r>
      <w:r>
        <w:rPr>
          <w:rFonts w:eastAsia="宋体"/>
          <w:spacing w:val="-5"/>
        </w:rPr>
        <w:t xml:space="preserve">並明確本所對做市商開展檢查、採取自律監管措施和紀律處分的 </w:t>
      </w:r>
      <w:r>
        <w:rPr>
          <w:rFonts w:eastAsia="宋体"/>
          <w:spacing w:val="15"/>
        </w:rPr>
        <w:t>依據。</w:t>
      </w:r>
    </w:p>
    <w:p>
      <w:pPr>
        <w:pStyle w:val="2"/>
        <w:spacing w:before="14"/>
        <w:ind w:left="758"/>
      </w:pPr>
      <w:r>
        <w:rPr>
          <w:rFonts w:eastAsia="宋体"/>
        </w:rPr>
        <w:t>四、徵求意見及採納情況</w:t>
      </w:r>
    </w:p>
    <w:p>
      <w:pPr>
        <w:pStyle w:val="2"/>
        <w:spacing w:before="158" w:line="340" w:lineRule="auto"/>
        <w:ind w:left="111" w:right="414" w:firstLine="646"/>
        <w:jc w:val="both"/>
      </w:pPr>
      <w:r>
        <w:rPr>
          <w:rFonts w:eastAsia="宋体"/>
          <w:spacing w:val="-2"/>
        </w:rPr>
        <w:t xml:space="preserve">徵求意見期間，共收到針對《做市指引》的意見 </w:t>
      </w:r>
      <w:r>
        <w:rPr>
          <w:rFonts w:eastAsia="宋体"/>
        </w:rPr>
        <w:t>2</w:t>
      </w:r>
      <w:r>
        <w:rPr>
          <w:rFonts w:eastAsia="宋体"/>
          <w:spacing w:val="-10"/>
        </w:rPr>
        <w:t xml:space="preserve"> 條，均屬</w:t>
      </w:r>
      <w:r>
        <w:rPr>
          <w:rFonts w:eastAsia="宋体"/>
          <w:spacing w:val="-5"/>
        </w:rPr>
        <w:t>於條文理解方面的意見，不涉及規則修改，我們已通過徵求意見</w:t>
      </w:r>
      <w:r>
        <w:rPr>
          <w:rFonts w:eastAsia="宋体"/>
          <w:spacing w:val="3"/>
        </w:rPr>
        <w:t>座談會和問答等形式作出解釋溝通。</w:t>
      </w:r>
    </w:p>
    <w:p>
      <w:pPr>
        <w:pStyle w:val="2"/>
        <w:spacing w:line="387" w:lineRule="exact"/>
        <w:ind w:left="758"/>
      </w:pPr>
      <w:r>
        <w:rPr>
          <w:rFonts w:eastAsia="宋体"/>
        </w:rPr>
        <w:t>特此說明。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0"/>
        </w:rPr>
      </w:pPr>
    </w:p>
    <w:p>
      <w:pPr>
        <w:spacing w:before="65"/>
        <w:ind w:left="0" w:right="459" w:firstLine="0"/>
        <w:jc w:val="right"/>
        <w:rPr>
          <w:sz w:val="28"/>
        </w:rPr>
      </w:pPr>
      <w:r>
        <w:rPr>
          <w:rFonts w:eastAsia="宋体"/>
          <w:sz w:val="28"/>
        </w:rPr>
        <w:t>— 3 —</w:t>
      </w:r>
    </w:p>
    <w:sectPr>
      <w:pgSz w:w="11910" w:h="16850"/>
      <w:pgMar w:top="1600" w:right="104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mE4ZDQ1MTQ3NTY0MThjMTQzN2QzNzYyOGE5NTIxZjEifQ=="/>
  </w:docVars>
  <w:rsids>
    <w:rsidRoot w:val="00000000"/>
    <w:rsid w:val="604D0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en-US" w:eastAsia="zh-CN" w:bidi="ar-SA"/>
    </w:rPr>
  </w:style>
  <w:style w:type="paragraph" w:styleId="3">
    <w:name w:val="Title"/>
    <w:basedOn w:val="1"/>
    <w:qFormat/>
    <w:uiPriority w:val="1"/>
    <w:pPr>
      <w:ind w:left="382" w:right="477" w:hanging="211"/>
    </w:pPr>
    <w:rPr>
      <w:rFonts w:ascii="宋体" w:hAnsi="宋体" w:eastAsia="宋体" w:cs="宋体"/>
      <w:sz w:val="43"/>
      <w:szCs w:val="43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2022-09-09T06:37:00Z</dcterms:created>
  <dc:creator>user</dc:creator>
  <cp:lastModifiedBy>周强</cp:lastModifiedBy>
  <dcterms:modified xsi:type="dcterms:W3CDTF">2022-09-09T06:37:42Z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947DA54B9EF242F6AA63EF914C5C2062</vt:lpwstr>
  </property>
</Properties>
</file>