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仿宋_GB2312" w:eastAsia="仿宋_GB2312" w:cs="仿宋_GB2312"/>
          <w:kern w:val="0"/>
          <w:sz w:val="20"/>
          <w:szCs w:val="20"/>
        </w:rPr>
      </w:pPr>
      <w:bookmarkStart w:id="0" w:name="_GoBack"/>
      <w:bookmarkEnd w:id="0"/>
      <w:r>
        <w:rPr>
          <w:rFonts w:hint="eastAsia" w:ascii="仿宋_GB2312" w:eastAsia="宋体" w:cs="仿宋_GB2312"/>
          <w:kern w:val="0"/>
          <w:sz w:val="34"/>
          <w:szCs w:val="34"/>
        </w:rPr>
        <w:t>附件</w:t>
      </w:r>
      <w:r>
        <w:rPr>
          <w:rFonts w:ascii="仿宋_GB2312" w:eastAsia="宋体" w:cs="仿宋_GB2312"/>
          <w:kern w:val="0"/>
          <w:sz w:val="34"/>
          <w:szCs w:val="34"/>
        </w:rPr>
        <w:t>2</w:t>
      </w:r>
    </w:p>
    <w:p>
      <w:pPr>
        <w:pStyle w:val="7"/>
        <w:snapToGrid w:val="0"/>
        <w:jc w:val="center"/>
        <w:rPr>
          <w:rFonts w:cs="宋体" w:asciiTheme="majorEastAsia" w:hAnsiTheme="majorEastAsia" w:eastAsiaTheme="majorEastAsia"/>
          <w:color w:val="000000"/>
          <w:sz w:val="44"/>
          <w:szCs w:val="44"/>
        </w:rPr>
      </w:pPr>
      <w:r>
        <w:rPr>
          <w:rFonts w:hint="eastAsia" w:eastAsia="宋体" w:cs="宋体" w:asciiTheme="majorEastAsia" w:hAnsiTheme="majorEastAsia"/>
          <w:color w:val="000000"/>
          <w:sz w:val="44"/>
          <w:szCs w:val="44"/>
        </w:rPr>
        <w:t>《國家外匯管理局深圳市分局涉外收入“不申報、不解付”</w:t>
      </w:r>
    </w:p>
    <w:p>
      <w:pPr>
        <w:pStyle w:val="7"/>
        <w:snapToGrid w:val="0"/>
        <w:jc w:val="center"/>
        <w:rPr>
          <w:rFonts w:cs="宋体" w:asciiTheme="majorEastAsia" w:hAnsiTheme="majorEastAsia" w:eastAsiaTheme="majorEastAsia"/>
          <w:color w:val="000000"/>
          <w:sz w:val="44"/>
          <w:szCs w:val="44"/>
        </w:rPr>
      </w:pPr>
      <w:r>
        <w:rPr>
          <w:rFonts w:hint="eastAsia" w:eastAsia="宋体" w:cs="宋体" w:asciiTheme="majorEastAsia" w:hAnsiTheme="majorEastAsia"/>
          <w:color w:val="000000"/>
          <w:sz w:val="44"/>
          <w:szCs w:val="44"/>
        </w:rPr>
        <w:t>特殊處理措施操作指引（徵求意見稿）》修訂對照表</w:t>
      </w:r>
    </w:p>
    <w:p>
      <w:pPr>
        <w:rPr>
          <w:rFonts w:cs="宋体"/>
          <w:b/>
          <w:color w:val="000000"/>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080"/>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09" w:type="dxa"/>
          </w:tcPr>
          <w:p>
            <w:pPr>
              <w:autoSpaceDE w:val="0"/>
              <w:autoSpaceDN w:val="0"/>
              <w:adjustRightInd w:val="0"/>
              <w:jc w:val="center"/>
              <w:rPr>
                <w:rFonts w:ascii="仿宋_GB2312" w:eastAsia="仿宋_GB2312" w:cs="宋体"/>
                <w:b/>
                <w:color w:val="000000"/>
                <w:sz w:val="32"/>
                <w:szCs w:val="32"/>
              </w:rPr>
            </w:pPr>
            <w:r>
              <w:rPr>
                <w:rFonts w:hint="eastAsia" w:ascii="仿宋_GB2312" w:eastAsia="宋体" w:cs="宋体"/>
                <w:b/>
                <w:color w:val="000000"/>
                <w:sz w:val="32"/>
                <w:szCs w:val="32"/>
              </w:rPr>
              <w:t>專案</w:t>
            </w:r>
          </w:p>
        </w:tc>
        <w:tc>
          <w:tcPr>
            <w:tcW w:w="8080" w:type="dxa"/>
          </w:tcPr>
          <w:p>
            <w:pPr>
              <w:jc w:val="center"/>
              <w:rPr>
                <w:rFonts w:ascii="仿宋_GB2312" w:eastAsia="仿宋_GB2312" w:cs="宋体"/>
                <w:b/>
                <w:color w:val="000000"/>
                <w:sz w:val="32"/>
                <w:szCs w:val="32"/>
              </w:rPr>
            </w:pPr>
            <w:r>
              <w:rPr>
                <w:rFonts w:hint="eastAsia" w:ascii="仿宋_GB2312" w:eastAsia="宋体" w:cs="宋体"/>
                <w:b/>
                <w:color w:val="000000"/>
                <w:sz w:val="32"/>
                <w:szCs w:val="32"/>
              </w:rPr>
              <w:t>修訂說明</w:t>
            </w:r>
          </w:p>
        </w:tc>
        <w:tc>
          <w:tcPr>
            <w:tcW w:w="4285" w:type="dxa"/>
          </w:tcPr>
          <w:p>
            <w:pPr>
              <w:jc w:val="center"/>
              <w:rPr>
                <w:rFonts w:ascii="仿宋_GB2312" w:eastAsia="仿宋_GB2312" w:cs="宋体"/>
                <w:b/>
                <w:color w:val="000000"/>
                <w:sz w:val="32"/>
                <w:szCs w:val="32"/>
              </w:rPr>
            </w:pPr>
            <w:r>
              <w:rPr>
                <w:rFonts w:hint="eastAsia" w:ascii="仿宋_GB2312" w:eastAsia="宋体" w:cs="宋体"/>
                <w:b/>
                <w:color w:val="000000"/>
                <w:sz w:val="32"/>
                <w:szCs w:val="32"/>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標題</w:t>
            </w:r>
          </w:p>
        </w:tc>
        <w:tc>
          <w:tcPr>
            <w:tcW w:w="8080"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國家外匯管理局深圳市分局</w:t>
            </w:r>
            <w:r>
              <w:rPr>
                <w:rFonts w:hint="eastAsia" w:ascii="仿宋_GB2312" w:eastAsia="宋体" w:cs="宋体"/>
                <w:b/>
                <w:color w:val="000000"/>
                <w:sz w:val="28"/>
                <w:szCs w:val="28"/>
              </w:rPr>
              <w:t>涉外收入</w:t>
            </w:r>
            <w:r>
              <w:rPr>
                <w:rFonts w:hint="eastAsia" w:ascii="仿宋_GB2312" w:eastAsia="宋体" w:cs="宋体"/>
                <w:color w:val="000000"/>
                <w:sz w:val="28"/>
                <w:szCs w:val="28"/>
              </w:rPr>
              <w:t>“不申報、不解付”特殊處理措施操作指引</w:t>
            </w:r>
          </w:p>
        </w:tc>
        <w:tc>
          <w:tcPr>
            <w:tcW w:w="4285" w:type="dxa"/>
            <w:vAlign w:val="center"/>
          </w:tcPr>
          <w:p>
            <w:pPr>
              <w:jc w:val="left"/>
              <w:rPr>
                <w:rFonts w:ascii="仿宋_GB2312" w:eastAsia="仿宋_GB2312" w:cs="宋体"/>
                <w:color w:val="000000"/>
                <w:sz w:val="28"/>
                <w:szCs w:val="28"/>
              </w:rPr>
            </w:pPr>
            <w:r>
              <w:rPr>
                <w:rFonts w:hint="eastAsia" w:ascii="仿宋_GB2312" w:eastAsia="宋体" w:cs="宋体"/>
                <w:color w:val="000000"/>
                <w:sz w:val="28"/>
                <w:szCs w:val="28"/>
              </w:rPr>
              <w:t>修改標題表述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第一條</w:t>
            </w:r>
          </w:p>
        </w:tc>
        <w:tc>
          <w:tcPr>
            <w:tcW w:w="8080"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為強化轄內國際收支統計申報業務管理，提升申報主體申報意識，</w:t>
            </w:r>
            <w:r>
              <w:rPr>
                <w:rFonts w:hint="eastAsia" w:ascii="仿宋_GB2312" w:eastAsia="宋体" w:cs="宋体"/>
                <w:b/>
                <w:color w:val="000000"/>
                <w:sz w:val="28"/>
                <w:szCs w:val="28"/>
              </w:rPr>
              <w:t>根據國際收支統計申報業務相關要求</w:t>
            </w:r>
            <w:r>
              <w:rPr>
                <w:rFonts w:hint="eastAsia" w:ascii="仿宋_GB2312" w:eastAsia="宋体" w:cs="宋体"/>
                <w:color w:val="000000"/>
                <w:sz w:val="28"/>
                <w:szCs w:val="28"/>
              </w:rPr>
              <w:t>，結合深圳市國際收支申報實際情況，制定本操作指引。</w:t>
            </w:r>
          </w:p>
        </w:tc>
        <w:tc>
          <w:tcPr>
            <w:tcW w:w="4285" w:type="dxa"/>
            <w:vAlign w:val="center"/>
          </w:tcPr>
          <w:p>
            <w:pPr>
              <w:jc w:val="left"/>
              <w:rPr>
                <w:rFonts w:ascii="仿宋_GB2312" w:eastAsia="仿宋_GB2312" w:cs="宋体"/>
                <w:color w:val="000000"/>
                <w:sz w:val="28"/>
                <w:szCs w:val="28"/>
              </w:rPr>
            </w:pPr>
            <w:r>
              <w:rPr>
                <w:rFonts w:hint="eastAsia" w:ascii="仿宋_GB2312" w:eastAsia="宋体" w:cs="宋体"/>
                <w:color w:val="000000"/>
                <w:sz w:val="28"/>
                <w:szCs w:val="28"/>
              </w:rPr>
              <w:t>更新檔依據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第二條</w:t>
            </w:r>
          </w:p>
        </w:tc>
        <w:tc>
          <w:tcPr>
            <w:tcW w:w="8080"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機構申報主體未在解付銀行/結匯中轉行為其涉外收入款項解付/結匯之日後的五個工作日內按規定辦理涉外收入申報，</w:t>
            </w:r>
            <w:r>
              <w:rPr>
                <w:rFonts w:hint="eastAsia" w:ascii="仿宋_GB2312" w:eastAsia="宋体" w:cs="宋体"/>
                <w:b/>
                <w:color w:val="000000"/>
                <w:sz w:val="28"/>
                <w:szCs w:val="28"/>
              </w:rPr>
              <w:t>情節嚴重的，國際外匯管理局深圳市分局（以下簡稱“外匯局”）對該申報主體執行涉外收入“不申報、不解付”特殊處理措施。</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 xml:space="preserve">因與申報業務實施細則重複，刪除紙質和網上申報方式解釋。補充執行標準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第三條</w:t>
            </w:r>
          </w:p>
        </w:tc>
        <w:tc>
          <w:tcPr>
            <w:tcW w:w="8080" w:type="dxa"/>
            <w:vAlign w:val="center"/>
          </w:tcPr>
          <w:p>
            <w:pPr>
              <w:pStyle w:val="8"/>
              <w:snapToGrid w:val="0"/>
              <w:spacing w:line="440" w:lineRule="exact"/>
              <w:rPr>
                <w:rFonts w:cs="宋体"/>
                <w:kern w:val="2"/>
                <w:sz w:val="28"/>
                <w:szCs w:val="28"/>
              </w:rPr>
            </w:pPr>
            <w:r>
              <w:rPr>
                <w:rFonts w:hint="eastAsia" w:eastAsia="宋体" w:cs="宋体"/>
                <w:kern w:val="2"/>
                <w:sz w:val="28"/>
                <w:szCs w:val="28"/>
              </w:rPr>
              <w:t>機構申報主體拒不履行國際收支統計涉外收入申報義務，存在以下情形之一者，視為情節嚴重：</w:t>
            </w:r>
            <w:r>
              <w:rPr>
                <w:rFonts w:eastAsia="宋体" w:cs="宋体"/>
                <w:kern w:val="2"/>
                <w:sz w:val="28"/>
                <w:szCs w:val="28"/>
              </w:rPr>
              <w:t xml:space="preserve"> </w:t>
            </w:r>
          </w:p>
          <w:p>
            <w:pPr>
              <w:pStyle w:val="9"/>
              <w:snapToGrid w:val="0"/>
              <w:spacing w:line="440" w:lineRule="exact"/>
              <w:ind w:firstLine="560" w:firstLineChars="200"/>
              <w:rPr>
                <w:rFonts w:cs="宋体"/>
                <w:color w:val="000000"/>
                <w:kern w:val="2"/>
                <w:sz w:val="28"/>
                <w:szCs w:val="28"/>
              </w:rPr>
            </w:pPr>
            <w:r>
              <w:rPr>
                <w:rFonts w:hint="eastAsia" w:eastAsia="宋体" w:cs="宋体"/>
                <w:color w:val="000000"/>
                <w:kern w:val="2"/>
                <w:sz w:val="28"/>
                <w:szCs w:val="28"/>
              </w:rPr>
              <w:t>（一）</w:t>
            </w:r>
            <w:r>
              <w:rPr>
                <w:rFonts w:hint="eastAsia" w:eastAsia="宋体" w:cs="宋体"/>
                <w:b/>
                <w:color w:val="000000"/>
                <w:kern w:val="2"/>
                <w:sz w:val="28"/>
                <w:szCs w:val="28"/>
              </w:rPr>
              <w:t>連續三個月出現逾期未申報情況；</w:t>
            </w:r>
            <w:r>
              <w:rPr>
                <w:rFonts w:eastAsia="宋体" w:cs="宋体"/>
                <w:color w:val="000000"/>
                <w:kern w:val="2"/>
                <w:sz w:val="28"/>
                <w:szCs w:val="28"/>
              </w:rPr>
              <w:t xml:space="preserve"> </w:t>
            </w:r>
          </w:p>
          <w:p>
            <w:pPr>
              <w:pStyle w:val="10"/>
              <w:snapToGrid w:val="0"/>
              <w:spacing w:line="440" w:lineRule="exact"/>
              <w:ind w:firstLine="560" w:firstLineChars="200"/>
              <w:rPr>
                <w:rFonts w:cs="宋体"/>
                <w:color w:val="000000"/>
                <w:kern w:val="2"/>
                <w:sz w:val="28"/>
                <w:szCs w:val="28"/>
              </w:rPr>
            </w:pPr>
            <w:r>
              <w:rPr>
                <w:rFonts w:hint="eastAsia" w:eastAsia="宋体" w:cs="宋体"/>
                <w:color w:val="000000"/>
                <w:kern w:val="2"/>
                <w:sz w:val="28"/>
                <w:szCs w:val="28"/>
              </w:rPr>
              <w:t>（二）一個月內累計逾期申報金額超過</w:t>
            </w:r>
            <w:r>
              <w:rPr>
                <w:rFonts w:hint="eastAsia" w:eastAsia="宋体" w:cs="宋体"/>
                <w:b/>
                <w:color w:val="000000"/>
                <w:kern w:val="2"/>
                <w:sz w:val="28"/>
                <w:szCs w:val="28"/>
              </w:rPr>
              <w:t>10</w:t>
            </w:r>
            <w:r>
              <w:rPr>
                <w:rFonts w:eastAsia="宋体" w:cs="宋体"/>
                <w:b/>
                <w:color w:val="000000"/>
                <w:kern w:val="2"/>
                <w:sz w:val="28"/>
                <w:szCs w:val="28"/>
              </w:rPr>
              <w:t>00</w:t>
            </w:r>
            <w:r>
              <w:rPr>
                <w:rFonts w:hint="eastAsia" w:eastAsia="宋体" w:cs="宋体"/>
                <w:b/>
                <w:color w:val="000000"/>
                <w:kern w:val="2"/>
                <w:sz w:val="28"/>
                <w:szCs w:val="28"/>
              </w:rPr>
              <w:t>萬美元；</w:t>
            </w:r>
            <w:r>
              <w:rPr>
                <w:rFonts w:eastAsia="宋体" w:cs="宋体"/>
                <w:color w:val="000000"/>
                <w:kern w:val="2"/>
                <w:sz w:val="28"/>
                <w:szCs w:val="28"/>
              </w:rPr>
              <w:t xml:space="preserve"> </w:t>
            </w:r>
          </w:p>
          <w:p>
            <w:pPr>
              <w:pStyle w:val="11"/>
              <w:snapToGrid w:val="0"/>
              <w:spacing w:line="440" w:lineRule="exact"/>
              <w:ind w:firstLine="560" w:firstLineChars="200"/>
              <w:rPr>
                <w:rFonts w:cs="宋体"/>
                <w:color w:val="000000"/>
                <w:kern w:val="2"/>
                <w:sz w:val="28"/>
                <w:szCs w:val="28"/>
              </w:rPr>
            </w:pPr>
            <w:r>
              <w:rPr>
                <w:rFonts w:hint="eastAsia" w:eastAsia="宋体" w:cs="宋体"/>
                <w:color w:val="000000"/>
                <w:kern w:val="2"/>
                <w:sz w:val="28"/>
                <w:szCs w:val="28"/>
              </w:rPr>
              <w:t>（三）單筆逾期未申報超過</w:t>
            </w:r>
            <w:r>
              <w:rPr>
                <w:rFonts w:eastAsia="宋体" w:cs="宋体"/>
                <w:color w:val="000000"/>
                <w:kern w:val="2"/>
                <w:sz w:val="28"/>
                <w:szCs w:val="28"/>
              </w:rPr>
              <w:t>30</w:t>
            </w:r>
            <w:r>
              <w:rPr>
                <w:rFonts w:hint="eastAsia" w:eastAsia="宋体" w:cs="宋体"/>
                <w:color w:val="000000"/>
                <w:kern w:val="2"/>
                <w:sz w:val="28"/>
                <w:szCs w:val="28"/>
              </w:rPr>
              <w:t>天；</w:t>
            </w:r>
            <w:r>
              <w:rPr>
                <w:rFonts w:eastAsia="宋体" w:cs="宋体"/>
                <w:color w:val="000000"/>
                <w:kern w:val="2"/>
                <w:sz w:val="28"/>
                <w:szCs w:val="28"/>
              </w:rPr>
              <w:t xml:space="preserve"> </w:t>
            </w:r>
          </w:p>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 xml:space="preserve">    （四）逾期未申報金額或筆數占當月實際收匯金額或筆數的比率達</w:t>
            </w:r>
            <w:r>
              <w:rPr>
                <w:rFonts w:ascii="仿宋_GB2312" w:eastAsia="宋体" w:cs="宋体"/>
                <w:color w:val="000000"/>
                <w:sz w:val="28"/>
                <w:szCs w:val="28"/>
              </w:rPr>
              <w:t>50</w:t>
            </w:r>
            <w:r>
              <w:rPr>
                <w:rFonts w:hint="eastAsia" w:ascii="仿宋_GB2312" w:eastAsia="宋体" w:cs="宋体"/>
                <w:color w:val="000000"/>
                <w:sz w:val="28"/>
                <w:szCs w:val="28"/>
              </w:rPr>
              <w:t>％（含）以上。</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1、刪除第（一）點中筆數標準，留下連續連續三個月的時間標準。2、第（二）點中金額標準從100萬美元修改為系統核查大額標準1000萬美元。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第四條</w:t>
            </w:r>
          </w:p>
        </w:tc>
        <w:tc>
          <w:tcPr>
            <w:tcW w:w="8080" w:type="dxa"/>
            <w:vAlign w:val="center"/>
          </w:tcPr>
          <w:p>
            <w:pPr>
              <w:pStyle w:val="8"/>
              <w:snapToGrid w:val="0"/>
              <w:spacing w:line="440" w:lineRule="exact"/>
              <w:rPr>
                <w:rFonts w:cs="宋体"/>
                <w:sz w:val="28"/>
                <w:szCs w:val="28"/>
              </w:rPr>
            </w:pPr>
            <w:r>
              <w:rPr>
                <w:rFonts w:hint="eastAsia" w:eastAsia="宋体" w:cs="宋体"/>
                <w:kern w:val="2"/>
                <w:sz w:val="28"/>
                <w:szCs w:val="28"/>
              </w:rPr>
              <w:t>（一）各外匯指定銀行應於發現機構申報主體存在第三條所列情形後的</w:t>
            </w:r>
            <w:r>
              <w:rPr>
                <w:rFonts w:hint="eastAsia" w:eastAsia="宋体" w:cs="宋体"/>
                <w:b/>
                <w:kern w:val="2"/>
                <w:sz w:val="28"/>
                <w:szCs w:val="28"/>
              </w:rPr>
              <w:t>5個工作日內</w:t>
            </w:r>
            <w:r>
              <w:rPr>
                <w:rFonts w:hint="eastAsia" w:eastAsia="宋体" w:cs="宋体"/>
                <w:kern w:val="2"/>
                <w:sz w:val="28"/>
                <w:szCs w:val="28"/>
              </w:rPr>
              <w:t>將涉外收入逾期未申報主體名單按規定格式（見附件1）報送外匯局。</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1、將逾期名單回饋時間從每月10日前修改為5個工作日內。      2、取消空表報送要求。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第四條</w:t>
            </w:r>
          </w:p>
        </w:tc>
        <w:tc>
          <w:tcPr>
            <w:tcW w:w="8080" w:type="dxa"/>
            <w:vAlign w:val="center"/>
          </w:tcPr>
          <w:p>
            <w:pPr>
              <w:pStyle w:val="8"/>
              <w:snapToGrid w:val="0"/>
              <w:spacing w:line="440" w:lineRule="exact"/>
              <w:rPr>
                <w:rFonts w:cs="宋体"/>
                <w:kern w:val="2"/>
                <w:sz w:val="28"/>
                <w:szCs w:val="28"/>
              </w:rPr>
            </w:pPr>
            <w:r>
              <w:rPr>
                <w:rFonts w:hint="eastAsia" w:eastAsia="宋体" w:cs="宋体"/>
                <w:kern w:val="2"/>
                <w:sz w:val="28"/>
                <w:szCs w:val="28"/>
              </w:rPr>
              <w:t>（二）外匯局對銀行報送的逾期未申報主體名單審核無誤後，以書面形式向全轄各外匯指定銀行發佈《關於對機構申報主體涉外收入執行“不申報、不解付”特殊處理措施的通知》（見附件</w:t>
            </w:r>
            <w:r>
              <w:rPr>
                <w:rFonts w:eastAsia="宋体" w:cs="宋体"/>
                <w:kern w:val="2"/>
                <w:sz w:val="28"/>
                <w:szCs w:val="28"/>
              </w:rPr>
              <w:t>2</w:t>
            </w:r>
            <w:r>
              <w:rPr>
                <w:rFonts w:hint="eastAsia" w:eastAsia="宋体" w:cs="宋体"/>
                <w:kern w:val="2"/>
                <w:sz w:val="28"/>
                <w:szCs w:val="28"/>
              </w:rPr>
              <w:t>）。實施特殊處理措施期限為三個月。</w:t>
            </w:r>
          </w:p>
        </w:tc>
        <w:tc>
          <w:tcPr>
            <w:tcW w:w="4285" w:type="dxa"/>
            <w:vAlign w:val="center"/>
          </w:tcPr>
          <w:p>
            <w:pPr>
              <w:jc w:val="left"/>
              <w:rPr>
                <w:rFonts w:ascii="仿宋_GB2312" w:eastAsia="仿宋_GB2312" w:cs="宋体"/>
                <w:color w:val="000000"/>
                <w:sz w:val="28"/>
                <w:szCs w:val="28"/>
              </w:rPr>
            </w:pPr>
            <w:r>
              <w:rPr>
                <w:rFonts w:hint="eastAsia" w:ascii="仿宋_GB2312" w:eastAsia="宋体" w:cs="宋体"/>
                <w:color w:val="000000"/>
                <w:sz w:val="28"/>
                <w:szCs w:val="28"/>
              </w:rPr>
              <w:t>修改部分表述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第四條</w:t>
            </w:r>
          </w:p>
        </w:tc>
        <w:tc>
          <w:tcPr>
            <w:tcW w:w="8080" w:type="dxa"/>
            <w:vAlign w:val="center"/>
          </w:tcPr>
          <w:p>
            <w:pPr>
              <w:pStyle w:val="8"/>
              <w:snapToGrid w:val="0"/>
              <w:spacing w:line="440" w:lineRule="exact"/>
              <w:rPr>
                <w:rFonts w:cs="宋体"/>
                <w:b/>
                <w:sz w:val="28"/>
                <w:szCs w:val="28"/>
              </w:rPr>
            </w:pPr>
            <w:r>
              <w:rPr>
                <w:rFonts w:hint="eastAsia" w:eastAsia="宋体" w:cs="宋体"/>
                <w:b/>
                <w:kern w:val="2"/>
                <w:sz w:val="28"/>
                <w:szCs w:val="28"/>
              </w:rPr>
              <w:t>（三）經辦銀行應當督促機構申報主體逐筆補報未按期申報的涉外收入款項，並通知其以紙質申報方式完成其被執行特殊處理措施期間新收款項的申報。</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根據國際收支統計申報業務實施細則內容，新增銀行責任。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第四條</w:t>
            </w:r>
          </w:p>
        </w:tc>
        <w:tc>
          <w:tcPr>
            <w:tcW w:w="8080" w:type="dxa"/>
            <w:vAlign w:val="center"/>
          </w:tcPr>
          <w:p>
            <w:pPr>
              <w:pStyle w:val="8"/>
              <w:snapToGrid w:val="0"/>
              <w:spacing w:line="440" w:lineRule="exact"/>
              <w:rPr>
                <w:rFonts w:cs="宋体"/>
                <w:kern w:val="2"/>
                <w:sz w:val="28"/>
                <w:szCs w:val="28"/>
              </w:rPr>
            </w:pPr>
            <w:r>
              <w:rPr>
                <w:rFonts w:hint="eastAsia" w:eastAsia="宋体" w:cs="宋体"/>
                <w:kern w:val="2"/>
                <w:sz w:val="28"/>
                <w:szCs w:val="28"/>
              </w:rPr>
              <w:t>（四）機構申報主體應通過紙質申報</w:t>
            </w:r>
            <w:r>
              <w:rPr>
                <w:rFonts w:hint="eastAsia" w:eastAsia="宋体" w:cs="宋体"/>
                <w:b/>
                <w:kern w:val="2"/>
                <w:sz w:val="28"/>
                <w:szCs w:val="28"/>
              </w:rPr>
              <w:t>、電子憑證申報</w:t>
            </w:r>
            <w:r>
              <w:rPr>
                <w:rFonts w:hint="eastAsia" w:eastAsia="宋体" w:cs="宋体"/>
                <w:kern w:val="2"/>
                <w:sz w:val="28"/>
                <w:szCs w:val="28"/>
              </w:rPr>
              <w:t>或網上申報方式補報此前未按期申報的涉外收入款項，履行補報義務後到外匯局辦理補報確認手續。外匯局審核補報數據無誤後，向機構申報主體簽發《國際收支涉外收入申報補報確認通知書》（見附件3）。</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增加最新申報方式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附件1</w:t>
            </w:r>
          </w:p>
        </w:tc>
        <w:tc>
          <w:tcPr>
            <w:tcW w:w="8080" w:type="dxa"/>
            <w:vAlign w:val="center"/>
          </w:tcPr>
          <w:p>
            <w:pPr>
              <w:pStyle w:val="8"/>
              <w:snapToGrid w:val="0"/>
              <w:spacing w:line="440" w:lineRule="exact"/>
              <w:rPr>
                <w:rFonts w:cs="宋体"/>
                <w:kern w:val="2"/>
                <w:sz w:val="28"/>
                <w:szCs w:val="28"/>
              </w:rPr>
            </w:pPr>
            <w:r>
              <w:rPr>
                <w:rFonts w:hint="eastAsia" w:eastAsia="宋体" w:cs="宋体"/>
                <w:kern w:val="2"/>
                <w:sz w:val="28"/>
                <w:szCs w:val="28"/>
              </w:rPr>
              <w:t>機構申報主體</w:t>
            </w:r>
            <w:r>
              <w:rPr>
                <w:rFonts w:hint="eastAsia" w:eastAsia="宋体" w:cs="宋体"/>
                <w:b/>
                <w:kern w:val="2"/>
                <w:sz w:val="28"/>
                <w:szCs w:val="28"/>
              </w:rPr>
              <w:t>涉外收入</w:t>
            </w:r>
            <w:r>
              <w:rPr>
                <w:rFonts w:hint="eastAsia" w:eastAsia="宋体" w:cs="宋体"/>
                <w:kern w:val="2"/>
                <w:sz w:val="28"/>
                <w:szCs w:val="28"/>
              </w:rPr>
              <w:t>逾期未申報名單</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修改表名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附件2</w:t>
            </w:r>
          </w:p>
        </w:tc>
        <w:tc>
          <w:tcPr>
            <w:tcW w:w="8080" w:type="dxa"/>
            <w:vAlign w:val="center"/>
          </w:tcPr>
          <w:p>
            <w:pPr>
              <w:pStyle w:val="8"/>
              <w:snapToGrid w:val="0"/>
              <w:spacing w:line="440" w:lineRule="exact"/>
              <w:rPr>
                <w:rFonts w:cs="宋体"/>
                <w:kern w:val="2"/>
                <w:sz w:val="28"/>
                <w:szCs w:val="28"/>
              </w:rPr>
            </w:pPr>
            <w:r>
              <w:rPr>
                <w:rFonts w:hint="eastAsia" w:eastAsia="宋体" w:cs="宋体"/>
                <w:kern w:val="2"/>
                <w:sz w:val="28"/>
                <w:szCs w:val="28"/>
              </w:rPr>
              <w:t>關於對機構申報主體</w:t>
            </w:r>
            <w:r>
              <w:rPr>
                <w:rFonts w:hint="eastAsia" w:eastAsia="宋体" w:cs="宋体"/>
                <w:b/>
                <w:kern w:val="2"/>
                <w:sz w:val="28"/>
                <w:szCs w:val="28"/>
              </w:rPr>
              <w:t>涉外收入</w:t>
            </w:r>
            <w:r>
              <w:rPr>
                <w:rFonts w:hint="eastAsia" w:eastAsia="宋体" w:cs="宋体"/>
                <w:kern w:val="2"/>
                <w:sz w:val="28"/>
                <w:szCs w:val="28"/>
              </w:rPr>
              <w:t>執行“不申報、不解付”特殊處理措施的通知</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更新檔依據，增加名單附表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仿宋_GB2312" w:eastAsia="仿宋_GB2312" w:cs="宋体"/>
                <w:color w:val="000000"/>
                <w:sz w:val="28"/>
                <w:szCs w:val="28"/>
              </w:rPr>
            </w:pPr>
            <w:r>
              <w:rPr>
                <w:rFonts w:hint="eastAsia" w:ascii="仿宋_GB2312" w:eastAsia="宋体" w:cs="宋体"/>
                <w:color w:val="000000"/>
                <w:sz w:val="28"/>
                <w:szCs w:val="28"/>
              </w:rPr>
              <w:t>附件3</w:t>
            </w:r>
          </w:p>
        </w:tc>
        <w:tc>
          <w:tcPr>
            <w:tcW w:w="8080" w:type="dxa"/>
            <w:vAlign w:val="center"/>
          </w:tcPr>
          <w:p>
            <w:pPr>
              <w:pStyle w:val="8"/>
              <w:snapToGrid w:val="0"/>
              <w:spacing w:line="440" w:lineRule="exact"/>
              <w:rPr>
                <w:rFonts w:cs="宋体"/>
                <w:kern w:val="2"/>
                <w:sz w:val="28"/>
                <w:szCs w:val="28"/>
              </w:rPr>
            </w:pPr>
            <w:r>
              <w:rPr>
                <w:rFonts w:hint="eastAsia" w:eastAsia="宋体" w:cs="宋体"/>
                <w:kern w:val="2"/>
                <w:sz w:val="28"/>
                <w:szCs w:val="28"/>
              </w:rPr>
              <w:t>國際收支</w:t>
            </w:r>
            <w:r>
              <w:rPr>
                <w:rFonts w:hint="eastAsia" w:eastAsia="宋体" w:cs="宋体"/>
                <w:b/>
                <w:kern w:val="2"/>
                <w:sz w:val="28"/>
                <w:szCs w:val="28"/>
              </w:rPr>
              <w:t>涉外收入</w:t>
            </w:r>
            <w:r>
              <w:rPr>
                <w:rFonts w:hint="eastAsia" w:eastAsia="宋体" w:cs="宋体"/>
                <w:kern w:val="2"/>
                <w:sz w:val="28"/>
                <w:szCs w:val="28"/>
              </w:rPr>
              <w:t>申報補報確認通知書</w:t>
            </w:r>
          </w:p>
        </w:tc>
        <w:tc>
          <w:tcPr>
            <w:tcW w:w="4285" w:type="dxa"/>
            <w:vAlign w:val="center"/>
          </w:tcPr>
          <w:p>
            <w:pPr>
              <w:spacing w:line="440" w:lineRule="exact"/>
              <w:jc w:val="left"/>
              <w:rPr>
                <w:rFonts w:ascii="仿宋_GB2312" w:eastAsia="仿宋_GB2312" w:cs="宋体"/>
                <w:color w:val="000000"/>
                <w:sz w:val="28"/>
                <w:szCs w:val="28"/>
              </w:rPr>
            </w:pPr>
            <w:r>
              <w:rPr>
                <w:rFonts w:hint="eastAsia" w:ascii="仿宋_GB2312" w:eastAsia="宋体" w:cs="宋体"/>
                <w:color w:val="000000"/>
                <w:sz w:val="28"/>
                <w:szCs w:val="28"/>
              </w:rPr>
              <w:t>更新檔依據，修改部分表述</w:t>
            </w:r>
          </w:p>
        </w:tc>
      </w:tr>
    </w:tbl>
    <w:p>
      <w:pPr>
        <w:rPr>
          <w:rFonts w:cs="宋体"/>
          <w:b/>
          <w:color w:val="000000"/>
          <w:sz w:val="36"/>
          <w:szCs w:val="36"/>
        </w:rPr>
      </w:pPr>
    </w:p>
    <w:p>
      <w:pPr>
        <w:autoSpaceDE w:val="0"/>
        <w:autoSpaceDN w:val="0"/>
        <w:adjustRightInd w:val="0"/>
        <w:jc w:val="left"/>
        <w:rPr>
          <w:rFonts w:ascii="仿宋_GB2312" w:eastAsia="仿宋_GB2312" w:cs="仿宋_GB2312"/>
          <w:kern w:val="0"/>
          <w:sz w:val="20"/>
          <w:szCs w:val="2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05C14EB"/>
    <w:rsid w:val="000164D2"/>
    <w:rsid w:val="000704ED"/>
    <w:rsid w:val="00072403"/>
    <w:rsid w:val="001F6EFD"/>
    <w:rsid w:val="002072BE"/>
    <w:rsid w:val="002A17A4"/>
    <w:rsid w:val="00322DB5"/>
    <w:rsid w:val="004A14E8"/>
    <w:rsid w:val="004F1232"/>
    <w:rsid w:val="005165FD"/>
    <w:rsid w:val="00574569"/>
    <w:rsid w:val="005B5635"/>
    <w:rsid w:val="005C14EB"/>
    <w:rsid w:val="005E6E26"/>
    <w:rsid w:val="00600116"/>
    <w:rsid w:val="0060176C"/>
    <w:rsid w:val="00604C87"/>
    <w:rsid w:val="00664B94"/>
    <w:rsid w:val="006C5D34"/>
    <w:rsid w:val="007876BD"/>
    <w:rsid w:val="007B4758"/>
    <w:rsid w:val="008266BA"/>
    <w:rsid w:val="00A04C9B"/>
    <w:rsid w:val="00A8443B"/>
    <w:rsid w:val="00AC48E5"/>
    <w:rsid w:val="00B33827"/>
    <w:rsid w:val="00B72240"/>
    <w:rsid w:val="00BD44E2"/>
    <w:rsid w:val="00D02403"/>
    <w:rsid w:val="00D12E7A"/>
    <w:rsid w:val="00E52DE4"/>
    <w:rsid w:val="00F26BE5"/>
    <w:rsid w:val="00F30CC8"/>
    <w:rsid w:val="00F4063A"/>
    <w:rsid w:val="00FD6266"/>
    <w:rsid w:val="00FE7670"/>
    <w:rsid w:val="5908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CM1"/>
    <w:basedOn w:val="1"/>
    <w:next w:val="1"/>
    <w:uiPriority w:val="99"/>
    <w:pPr>
      <w:autoSpaceDE w:val="0"/>
      <w:autoSpaceDN w:val="0"/>
      <w:adjustRightInd w:val="0"/>
      <w:spacing w:line="626" w:lineRule="atLeast"/>
      <w:jc w:val="left"/>
    </w:pPr>
    <w:rPr>
      <w:rFonts w:ascii="仿宋_GB2312" w:eastAsia="仿宋_GB2312"/>
      <w:kern w:val="0"/>
      <w:sz w:val="24"/>
      <w:szCs w:val="24"/>
    </w:rPr>
  </w:style>
  <w:style w:type="paragraph" w:customStyle="1" w:styleId="8">
    <w:name w:val="Defaul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9">
    <w:name w:val="CM2"/>
    <w:basedOn w:val="8"/>
    <w:next w:val="8"/>
    <w:uiPriority w:val="99"/>
    <w:pPr>
      <w:spacing w:line="546" w:lineRule="atLeast"/>
    </w:pPr>
    <w:rPr>
      <w:rFonts w:cs="Times New Roman"/>
      <w:color w:val="auto"/>
    </w:rPr>
  </w:style>
  <w:style w:type="paragraph" w:customStyle="1" w:styleId="10">
    <w:name w:val="CM3"/>
    <w:basedOn w:val="8"/>
    <w:next w:val="8"/>
    <w:uiPriority w:val="99"/>
    <w:pPr>
      <w:spacing w:line="546" w:lineRule="atLeast"/>
    </w:pPr>
    <w:rPr>
      <w:rFonts w:cs="Times New Roman"/>
      <w:color w:val="auto"/>
    </w:rPr>
  </w:style>
  <w:style w:type="paragraph" w:customStyle="1" w:styleId="11">
    <w:name w:val="CM5"/>
    <w:basedOn w:val="8"/>
    <w:next w:val="8"/>
    <w:uiPriority w:val="99"/>
    <w:pPr>
      <w:spacing w:line="540" w:lineRule="atLeast"/>
    </w:pPr>
    <w:rPr>
      <w:rFonts w:cs="Times New Roman"/>
      <w:color w:val="auto"/>
    </w:rPr>
  </w:style>
  <w:style w:type="character" w:customStyle="1" w:styleId="12">
    <w:name w:val="页眉 Char"/>
    <w:basedOn w:val="6"/>
    <w:link w:val="3"/>
    <w:uiPriority w:val="99"/>
    <w:rPr>
      <w:rFonts w:cs="Times New Roman"/>
      <w:sz w:val="18"/>
      <w:szCs w:val="18"/>
    </w:rPr>
  </w:style>
  <w:style w:type="character" w:customStyle="1" w:styleId="13">
    <w:name w:val="页脚 Char"/>
    <w:basedOn w:val="6"/>
    <w:link w:val="2"/>
    <w:qFormat/>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173</Words>
  <Characters>987</Characters>
  <Lines>8</Lines>
  <Paragraphs>2</Paragraphs>
  <TotalTime>139</TotalTime>
  <ScaleCrop>false</ScaleCrop>
  <LinksUpToDate>false</LinksUpToDate>
  <CharactersWithSpaces>1158</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2022-07-08T06:26:00Z</dcterms:created>
  <dc:creator>李雯</dc:creator>
  <cp:lastModifiedBy>周强</cp:lastModifiedBy>
  <dcterms:modified xsi:type="dcterms:W3CDTF">2022-08-25T09:25:47Z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0608514B52BA43C7AAC49FF6AE269489</vt:lpwstr>
  </property>
</Properties>
</file>