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line="540" w:lineRule="atLeast"/>
        <w:jc w:val="both"/>
        <w:rPr>
          <w:sz w:val="32"/>
          <w:szCs w:val="32"/>
        </w:rPr>
      </w:pPr>
      <w:bookmarkStart w:id="0" w:name="_GoBack"/>
      <w:bookmarkEnd w:id="0"/>
      <w:r>
        <w:rPr>
          <w:rFonts w:hint="eastAsia" w:eastAsia="宋体"/>
          <w:sz w:val="32"/>
          <w:szCs w:val="32"/>
        </w:rPr>
        <w:t>附件1</w:t>
      </w:r>
    </w:p>
    <w:p>
      <w:pPr>
        <w:pStyle w:val="8"/>
        <w:snapToGrid w:val="0"/>
        <w:jc w:val="center"/>
        <w:rPr>
          <w:rFonts w:cs="宋体" w:asciiTheme="majorEastAsia" w:hAnsiTheme="majorEastAsia" w:eastAsiaTheme="majorEastAsia"/>
          <w:b/>
          <w:color w:val="000000"/>
          <w:sz w:val="44"/>
          <w:szCs w:val="44"/>
        </w:rPr>
      </w:pPr>
      <w:r>
        <w:rPr>
          <w:rFonts w:hint="eastAsia" w:eastAsia="宋体" w:cs="宋体" w:asciiTheme="majorEastAsia" w:hAnsiTheme="majorEastAsia"/>
          <w:b/>
          <w:color w:val="000000"/>
          <w:sz w:val="44"/>
          <w:szCs w:val="44"/>
        </w:rPr>
        <w:t>國家外匯管理局深圳市分局涉外收入</w:t>
      </w:r>
    </w:p>
    <w:p>
      <w:pPr>
        <w:pStyle w:val="8"/>
        <w:snapToGrid w:val="0"/>
        <w:jc w:val="center"/>
        <w:rPr>
          <w:rFonts w:cs="宋体" w:asciiTheme="majorEastAsia" w:hAnsiTheme="majorEastAsia" w:eastAsiaTheme="majorEastAsia"/>
          <w:b/>
          <w:color w:val="000000"/>
          <w:sz w:val="44"/>
          <w:szCs w:val="44"/>
        </w:rPr>
      </w:pPr>
      <w:r>
        <w:rPr>
          <w:rFonts w:hint="eastAsia" w:eastAsia="宋体" w:cs="宋体" w:asciiTheme="majorEastAsia" w:hAnsiTheme="majorEastAsia"/>
          <w:b/>
          <w:color w:val="000000"/>
          <w:sz w:val="44"/>
          <w:szCs w:val="44"/>
        </w:rPr>
        <w:t>“不申報、不解付”特殊處理措施操作指引</w:t>
      </w:r>
    </w:p>
    <w:p>
      <w:pPr>
        <w:pStyle w:val="7"/>
      </w:pPr>
    </w:p>
    <w:p>
      <w:pPr>
        <w:pStyle w:val="9"/>
        <w:snapToGrid w:val="0"/>
        <w:spacing w:line="360" w:lineRule="auto"/>
        <w:ind w:firstLine="643" w:firstLineChars="200"/>
        <w:jc w:val="both"/>
        <w:rPr>
          <w:rFonts w:cs="仿宋_GB2312"/>
          <w:color w:val="000000"/>
          <w:sz w:val="32"/>
          <w:szCs w:val="32"/>
        </w:rPr>
      </w:pPr>
      <w:r>
        <w:rPr>
          <w:rFonts w:hint="eastAsia" w:eastAsia="宋体" w:cs="仿宋_GB2312"/>
          <w:b/>
          <w:color w:val="000000"/>
          <w:sz w:val="32"/>
          <w:szCs w:val="32"/>
        </w:rPr>
        <w:t>第一條</w:t>
      </w:r>
      <w:r>
        <w:rPr>
          <w:rFonts w:eastAsia="宋体" w:cs="仿宋_GB2312"/>
          <w:color w:val="000000"/>
          <w:sz w:val="32"/>
          <w:szCs w:val="32"/>
        </w:rPr>
        <w:t xml:space="preserve"> </w:t>
      </w:r>
      <w:r>
        <w:rPr>
          <w:rFonts w:hint="eastAsia" w:eastAsia="宋体" w:cs="仿宋_GB2312"/>
          <w:color w:val="000000"/>
          <w:sz w:val="32"/>
          <w:szCs w:val="32"/>
        </w:rPr>
        <w:t>為強化轄內國際收支統計申報業務管理，提升申報主體申報意識，根據國際收支統計申報業務相關要求，結合深圳市國際收支申報實際情況，制定本操作指引。</w:t>
      </w:r>
    </w:p>
    <w:p>
      <w:pPr>
        <w:pStyle w:val="9"/>
        <w:snapToGrid w:val="0"/>
        <w:spacing w:line="360" w:lineRule="auto"/>
        <w:ind w:firstLine="643" w:firstLineChars="200"/>
        <w:jc w:val="both"/>
        <w:rPr>
          <w:rFonts w:cs="仿宋_GB2312"/>
          <w:color w:val="000000"/>
          <w:sz w:val="32"/>
          <w:szCs w:val="32"/>
        </w:rPr>
      </w:pPr>
      <w:r>
        <w:rPr>
          <w:rFonts w:hint="eastAsia" w:eastAsia="宋体" w:cs="仿宋_GB2312"/>
          <w:b/>
          <w:color w:val="000000"/>
          <w:sz w:val="32"/>
          <w:szCs w:val="32"/>
        </w:rPr>
        <w:t xml:space="preserve">第二條 </w:t>
      </w:r>
      <w:r>
        <w:rPr>
          <w:rFonts w:hint="eastAsia" w:eastAsia="宋体" w:cs="仿宋_GB2312"/>
          <w:color w:val="000000"/>
          <w:sz w:val="32"/>
          <w:szCs w:val="32"/>
        </w:rPr>
        <w:t>機構申報主體未在解付銀行</w:t>
      </w:r>
      <w:r>
        <w:rPr>
          <w:rFonts w:eastAsia="宋体" w:cs="仿宋_GB2312"/>
          <w:color w:val="000000"/>
          <w:sz w:val="32"/>
          <w:szCs w:val="32"/>
        </w:rPr>
        <w:t>/</w:t>
      </w:r>
      <w:r>
        <w:rPr>
          <w:rFonts w:hint="eastAsia" w:eastAsia="宋体" w:cs="仿宋_GB2312"/>
          <w:color w:val="000000"/>
          <w:sz w:val="32"/>
          <w:szCs w:val="32"/>
        </w:rPr>
        <w:t>結匯中轉行為其涉外收入款項解付</w:t>
      </w:r>
      <w:r>
        <w:rPr>
          <w:rFonts w:eastAsia="宋体" w:cs="仿宋_GB2312"/>
          <w:color w:val="000000"/>
          <w:sz w:val="32"/>
          <w:szCs w:val="32"/>
        </w:rPr>
        <w:t>/</w:t>
      </w:r>
      <w:r>
        <w:rPr>
          <w:rFonts w:hint="eastAsia" w:eastAsia="宋体" w:cs="仿宋_GB2312"/>
          <w:color w:val="000000"/>
          <w:sz w:val="32"/>
          <w:szCs w:val="32"/>
        </w:rPr>
        <w:t>結匯之日後的五個工作日內按規定辦理涉外收入申報，情節嚴重的，國際外匯管理局深圳市分局（以下簡稱“外匯局”）對該申報主體執行涉外收入</w:t>
      </w:r>
      <w:r>
        <w:rPr>
          <w:rFonts w:hint="eastAsia" w:eastAsia="宋体"/>
          <w:sz w:val="32"/>
          <w:szCs w:val="32"/>
        </w:rPr>
        <w:t>“不申報、不解付”特殊處理措施</w:t>
      </w:r>
      <w:r>
        <w:rPr>
          <w:rFonts w:hint="eastAsia" w:eastAsia="宋体" w:cs="仿宋_GB2312"/>
          <w:color w:val="000000"/>
          <w:sz w:val="32"/>
          <w:szCs w:val="32"/>
        </w:rPr>
        <w:t>。</w:t>
      </w:r>
    </w:p>
    <w:p>
      <w:pPr>
        <w:pStyle w:val="7"/>
        <w:snapToGrid w:val="0"/>
        <w:spacing w:line="360" w:lineRule="auto"/>
        <w:ind w:firstLine="643" w:firstLineChars="200"/>
        <w:jc w:val="both"/>
        <w:rPr>
          <w:sz w:val="32"/>
          <w:szCs w:val="32"/>
        </w:rPr>
      </w:pPr>
      <w:r>
        <w:rPr>
          <w:rFonts w:hint="eastAsia" w:eastAsia="宋体"/>
          <w:b/>
          <w:sz w:val="32"/>
          <w:szCs w:val="32"/>
        </w:rPr>
        <w:t>第三條</w:t>
      </w:r>
      <w:r>
        <w:rPr>
          <w:rFonts w:eastAsia="宋体"/>
          <w:sz w:val="32"/>
          <w:szCs w:val="32"/>
        </w:rPr>
        <w:t xml:space="preserve"> </w:t>
      </w:r>
      <w:r>
        <w:rPr>
          <w:rFonts w:hint="eastAsia" w:eastAsia="宋体"/>
          <w:sz w:val="32"/>
          <w:szCs w:val="32"/>
        </w:rPr>
        <w:t>機構申報主體拒不履行國際收支統計涉外收入申報義務，存在以下情形之一者，視為情節嚴重：</w:t>
      </w:r>
    </w:p>
    <w:p>
      <w:pPr>
        <w:pStyle w:val="9"/>
        <w:snapToGrid w:val="0"/>
        <w:spacing w:line="360" w:lineRule="auto"/>
        <w:ind w:firstLine="640" w:firstLineChars="200"/>
        <w:jc w:val="both"/>
        <w:rPr>
          <w:rFonts w:cs="仿宋_GB2312"/>
          <w:color w:val="000000"/>
          <w:sz w:val="32"/>
          <w:szCs w:val="32"/>
        </w:rPr>
      </w:pPr>
      <w:r>
        <w:rPr>
          <w:rFonts w:hint="eastAsia" w:eastAsia="宋体" w:cs="仿宋_GB2312"/>
          <w:color w:val="000000"/>
          <w:sz w:val="32"/>
          <w:szCs w:val="32"/>
        </w:rPr>
        <w:t>（一）連續三個月出現逾期未申報情況；</w:t>
      </w:r>
    </w:p>
    <w:p>
      <w:pPr>
        <w:pStyle w:val="10"/>
        <w:snapToGrid w:val="0"/>
        <w:spacing w:line="360" w:lineRule="auto"/>
        <w:ind w:firstLine="640" w:firstLineChars="200"/>
        <w:jc w:val="both"/>
        <w:rPr>
          <w:rFonts w:cs="仿宋_GB2312"/>
          <w:color w:val="000000"/>
          <w:sz w:val="32"/>
          <w:szCs w:val="32"/>
        </w:rPr>
      </w:pPr>
      <w:r>
        <w:rPr>
          <w:rFonts w:hint="eastAsia" w:eastAsia="宋体" w:cs="仿宋_GB2312"/>
          <w:color w:val="000000"/>
          <w:sz w:val="32"/>
          <w:szCs w:val="32"/>
        </w:rPr>
        <w:t>（二）一個月內累計逾期申報金額超過10</w:t>
      </w:r>
      <w:r>
        <w:rPr>
          <w:rFonts w:eastAsia="宋体" w:cs="仿宋_GB2312"/>
          <w:color w:val="000000"/>
          <w:sz w:val="32"/>
          <w:szCs w:val="32"/>
        </w:rPr>
        <w:t>00</w:t>
      </w:r>
      <w:r>
        <w:rPr>
          <w:rFonts w:hint="eastAsia" w:eastAsia="宋体" w:cs="仿宋_GB2312"/>
          <w:color w:val="000000"/>
          <w:sz w:val="32"/>
          <w:szCs w:val="32"/>
        </w:rPr>
        <w:t>萬美元；</w:t>
      </w:r>
    </w:p>
    <w:p>
      <w:pPr>
        <w:pStyle w:val="11"/>
        <w:snapToGrid w:val="0"/>
        <w:spacing w:line="360" w:lineRule="auto"/>
        <w:ind w:firstLine="640" w:firstLineChars="200"/>
        <w:jc w:val="both"/>
        <w:rPr>
          <w:rFonts w:cs="仿宋_GB2312"/>
          <w:color w:val="000000"/>
          <w:sz w:val="32"/>
          <w:szCs w:val="32"/>
        </w:rPr>
      </w:pPr>
      <w:r>
        <w:rPr>
          <w:rFonts w:hint="eastAsia" w:eastAsia="宋体" w:cs="仿宋_GB2312"/>
          <w:color w:val="000000"/>
          <w:sz w:val="32"/>
          <w:szCs w:val="32"/>
        </w:rPr>
        <w:t>（三）單筆逾期未申報超過</w:t>
      </w:r>
      <w:r>
        <w:rPr>
          <w:rFonts w:eastAsia="宋体" w:cs="仿宋_GB2312"/>
          <w:color w:val="000000"/>
          <w:sz w:val="32"/>
          <w:szCs w:val="32"/>
        </w:rPr>
        <w:t>30</w:t>
      </w:r>
      <w:r>
        <w:rPr>
          <w:rFonts w:hint="eastAsia" w:eastAsia="宋体" w:cs="仿宋_GB2312"/>
          <w:color w:val="000000"/>
          <w:sz w:val="32"/>
          <w:szCs w:val="32"/>
        </w:rPr>
        <w:t>天；</w:t>
      </w:r>
    </w:p>
    <w:p>
      <w:pPr>
        <w:pStyle w:val="11"/>
        <w:snapToGrid w:val="0"/>
        <w:spacing w:line="360" w:lineRule="auto"/>
        <w:ind w:firstLine="640" w:firstLineChars="200"/>
        <w:jc w:val="both"/>
        <w:rPr>
          <w:rFonts w:cs="仿宋_GB2312"/>
          <w:color w:val="000000"/>
          <w:sz w:val="32"/>
          <w:szCs w:val="32"/>
        </w:rPr>
      </w:pPr>
      <w:r>
        <w:rPr>
          <w:rFonts w:hint="eastAsia" w:eastAsia="宋体" w:cs="仿宋_GB2312"/>
          <w:color w:val="000000"/>
          <w:sz w:val="32"/>
          <w:szCs w:val="32"/>
        </w:rPr>
        <w:t>（四）逾期未申報金額或筆數占當月實際收匯金額或筆數的比率達</w:t>
      </w:r>
      <w:r>
        <w:rPr>
          <w:rFonts w:eastAsia="宋体" w:cs="仿宋_GB2312"/>
          <w:color w:val="000000"/>
          <w:sz w:val="32"/>
          <w:szCs w:val="32"/>
        </w:rPr>
        <w:t>50</w:t>
      </w:r>
      <w:r>
        <w:rPr>
          <w:rFonts w:hint="eastAsia" w:eastAsia="宋体" w:cs="仿宋_GB2312"/>
          <w:color w:val="000000"/>
          <w:sz w:val="32"/>
          <w:szCs w:val="32"/>
        </w:rPr>
        <w:t>％（含）以上。</w:t>
      </w:r>
    </w:p>
    <w:p>
      <w:pPr>
        <w:pStyle w:val="7"/>
        <w:spacing w:line="360" w:lineRule="auto"/>
        <w:ind w:firstLine="675" w:firstLineChars="210"/>
        <w:rPr>
          <w:sz w:val="32"/>
          <w:szCs w:val="32"/>
        </w:rPr>
      </w:pPr>
      <w:r>
        <w:rPr>
          <w:rFonts w:hint="eastAsia" w:eastAsia="宋体"/>
          <w:b/>
          <w:sz w:val="32"/>
          <w:szCs w:val="32"/>
        </w:rPr>
        <w:t>第四條</w:t>
      </w:r>
      <w:r>
        <w:rPr>
          <w:rFonts w:eastAsia="宋体"/>
          <w:b/>
          <w:sz w:val="32"/>
          <w:szCs w:val="32"/>
        </w:rPr>
        <w:t xml:space="preserve"> </w:t>
      </w:r>
      <w:r>
        <w:rPr>
          <w:rFonts w:hint="eastAsia" w:eastAsia="宋体"/>
          <w:b/>
          <w:sz w:val="32"/>
          <w:szCs w:val="32"/>
        </w:rPr>
        <w:t>“不申報、不解付”特殊處理措施程式：</w:t>
      </w:r>
    </w:p>
    <w:p>
      <w:pPr>
        <w:pStyle w:val="11"/>
        <w:snapToGrid w:val="0"/>
        <w:spacing w:line="360" w:lineRule="auto"/>
        <w:ind w:firstLine="640" w:firstLineChars="200"/>
        <w:jc w:val="both"/>
        <w:rPr>
          <w:rFonts w:cs="仿宋_GB2312"/>
          <w:color w:val="000000"/>
          <w:sz w:val="32"/>
          <w:szCs w:val="32"/>
        </w:rPr>
      </w:pPr>
      <w:r>
        <w:rPr>
          <w:rFonts w:hint="eastAsia" w:eastAsia="宋体" w:cs="仿宋_GB2312"/>
          <w:color w:val="000000"/>
          <w:sz w:val="32"/>
          <w:szCs w:val="32"/>
        </w:rPr>
        <w:t>（一）各外匯指定銀行應於發現機構申報主體存在第三條所列情形後的五個工作日內將涉外收入逾期未申報主體名單按規定格式（見附件</w:t>
      </w:r>
      <w:r>
        <w:rPr>
          <w:rFonts w:eastAsia="宋体" w:cs="仿宋_GB2312"/>
          <w:color w:val="000000"/>
          <w:sz w:val="32"/>
          <w:szCs w:val="32"/>
        </w:rPr>
        <w:t>1</w:t>
      </w:r>
      <w:r>
        <w:rPr>
          <w:rFonts w:hint="eastAsia" w:eastAsia="宋体" w:cs="仿宋_GB2312"/>
          <w:color w:val="000000"/>
          <w:sz w:val="32"/>
          <w:szCs w:val="32"/>
        </w:rPr>
        <w:t>）報送外匯局。</w:t>
      </w:r>
    </w:p>
    <w:p>
      <w:pPr>
        <w:pStyle w:val="10"/>
        <w:snapToGrid w:val="0"/>
        <w:spacing w:line="360" w:lineRule="auto"/>
        <w:ind w:firstLine="640" w:firstLineChars="200"/>
        <w:jc w:val="both"/>
        <w:rPr>
          <w:rFonts w:cs="仿宋_GB2312"/>
          <w:color w:val="000000"/>
          <w:sz w:val="32"/>
          <w:szCs w:val="32"/>
        </w:rPr>
      </w:pPr>
      <w:r>
        <w:rPr>
          <w:rFonts w:hint="eastAsia" w:eastAsia="宋体" w:cs="仿宋_GB2312"/>
          <w:color w:val="000000"/>
          <w:sz w:val="32"/>
          <w:szCs w:val="32"/>
        </w:rPr>
        <w:t>（二）外匯局對銀行報送的逾期未申報主體名單審核無誤後，以書面形式向全轄各外匯指定銀行發佈《關於對機構申報主體涉外收入執行“不申報、不解付”特殊處理措施的通知》（見附件</w:t>
      </w:r>
      <w:r>
        <w:rPr>
          <w:rFonts w:eastAsia="宋体" w:cs="仿宋_GB2312"/>
          <w:color w:val="000000"/>
          <w:sz w:val="32"/>
          <w:szCs w:val="32"/>
        </w:rPr>
        <w:t>2</w:t>
      </w:r>
      <w:r>
        <w:rPr>
          <w:rFonts w:hint="eastAsia" w:eastAsia="宋体" w:cs="仿宋_GB2312"/>
          <w:color w:val="000000"/>
          <w:sz w:val="32"/>
          <w:szCs w:val="32"/>
        </w:rPr>
        <w:t>）。實施特殊處理措施期限為三個月。</w:t>
      </w:r>
    </w:p>
    <w:p>
      <w:pPr>
        <w:pStyle w:val="11"/>
        <w:snapToGrid w:val="0"/>
        <w:spacing w:line="360" w:lineRule="auto"/>
        <w:ind w:firstLine="640" w:firstLineChars="200"/>
        <w:jc w:val="both"/>
        <w:rPr>
          <w:rFonts w:cs="仿宋_GB2312"/>
          <w:color w:val="000000"/>
          <w:sz w:val="32"/>
          <w:szCs w:val="32"/>
        </w:rPr>
      </w:pPr>
      <w:r>
        <w:rPr>
          <w:rFonts w:hint="eastAsia" w:eastAsia="宋体" w:cs="仿宋_GB2312"/>
          <w:color w:val="000000"/>
          <w:sz w:val="32"/>
          <w:szCs w:val="32"/>
        </w:rPr>
        <w:t>（三）經辦銀行應當督促機構申報主體逐筆補報未按期申報的涉外收入款項，並通知其以紙質申報方式完成其被執行特殊處理措施期間新收款項的申報。</w:t>
      </w:r>
    </w:p>
    <w:p>
      <w:pPr>
        <w:pStyle w:val="11"/>
        <w:snapToGrid w:val="0"/>
        <w:spacing w:line="360" w:lineRule="auto"/>
        <w:ind w:firstLine="640" w:firstLineChars="200"/>
        <w:jc w:val="both"/>
        <w:rPr>
          <w:rFonts w:cs="仿宋_GB2312"/>
          <w:color w:val="000000"/>
          <w:sz w:val="32"/>
          <w:szCs w:val="32"/>
        </w:rPr>
      </w:pPr>
      <w:r>
        <w:rPr>
          <w:rFonts w:hint="eastAsia" w:eastAsia="宋体" w:cs="仿宋_GB2312"/>
          <w:color w:val="000000"/>
          <w:sz w:val="32"/>
          <w:szCs w:val="32"/>
        </w:rPr>
        <w:t>（四）機構申報主體應通過紙質申報、電子憑證申報或網上申報方式補報此前未按期申報的涉外收入款項，履行補報義務後到外匯局辦理補報確認手續。外匯局審核補報數據無誤後，向機構申報主體簽發《國際收支涉外收入申報補報確認通知書》（見附件</w:t>
      </w:r>
      <w:r>
        <w:rPr>
          <w:rFonts w:eastAsia="宋体" w:cs="仿宋_GB2312"/>
          <w:color w:val="000000"/>
          <w:sz w:val="32"/>
          <w:szCs w:val="32"/>
        </w:rPr>
        <w:t>3</w:t>
      </w:r>
      <w:r>
        <w:rPr>
          <w:rFonts w:hint="eastAsia" w:eastAsia="宋体" w:cs="仿宋_GB2312"/>
          <w:color w:val="000000"/>
          <w:sz w:val="32"/>
          <w:szCs w:val="32"/>
        </w:rPr>
        <w:t>）。</w:t>
      </w:r>
    </w:p>
    <w:p>
      <w:pPr>
        <w:pStyle w:val="11"/>
        <w:snapToGrid w:val="0"/>
        <w:spacing w:line="360" w:lineRule="auto"/>
        <w:ind w:firstLine="640" w:firstLineChars="200"/>
        <w:jc w:val="both"/>
        <w:rPr>
          <w:rFonts w:cs="仿宋_GB2312"/>
          <w:color w:val="000000"/>
          <w:sz w:val="32"/>
          <w:szCs w:val="32"/>
        </w:rPr>
      </w:pPr>
      <w:r>
        <w:rPr>
          <w:rFonts w:hint="eastAsia" w:eastAsia="宋体" w:cs="仿宋_GB2312"/>
          <w:color w:val="000000"/>
          <w:sz w:val="32"/>
          <w:szCs w:val="32"/>
        </w:rPr>
        <w:t>（五）機構申報主體應當以紙質申報方式完成被執行特殊處理措施期間新收款項的申報。經辦銀行審核無誤後，憑申報主體提供的外匯局為其出具的補報確認書，方可為其辦理該筆新收涉外收入款項的解付手續，並完成基礎資訊和申報資訊的報送。</w:t>
      </w:r>
    </w:p>
    <w:p>
      <w:pPr>
        <w:pStyle w:val="10"/>
        <w:snapToGrid w:val="0"/>
        <w:spacing w:line="360" w:lineRule="auto"/>
        <w:ind w:firstLine="643" w:firstLineChars="200"/>
        <w:jc w:val="both"/>
        <w:rPr>
          <w:rFonts w:cs="仿宋_GB2312"/>
          <w:color w:val="000000"/>
          <w:sz w:val="32"/>
          <w:szCs w:val="32"/>
        </w:rPr>
      </w:pPr>
      <w:r>
        <w:rPr>
          <w:rFonts w:hint="eastAsia" w:eastAsia="宋体" w:cs="仿宋_GB2312"/>
          <w:b/>
          <w:color w:val="000000"/>
          <w:sz w:val="32"/>
          <w:szCs w:val="32"/>
        </w:rPr>
        <w:t>第五條</w:t>
      </w:r>
      <w:r>
        <w:rPr>
          <w:rFonts w:eastAsia="宋体" w:cs="仿宋_GB2312"/>
          <w:color w:val="000000"/>
          <w:sz w:val="32"/>
          <w:szCs w:val="32"/>
        </w:rPr>
        <w:t xml:space="preserve"> </w:t>
      </w:r>
      <w:r>
        <w:rPr>
          <w:rFonts w:hint="eastAsia" w:eastAsia="宋体" w:cs="仿宋_GB2312"/>
          <w:color w:val="000000"/>
          <w:sz w:val="32"/>
          <w:szCs w:val="32"/>
        </w:rPr>
        <w:t>在特殊處理措施期滿，並確認該機構申報主體已補報其未按期申報的涉外收入款項後，外匯局應當以書面形式向全轄各外匯指定銀行發佈《國際收支涉外收入“不申報、不解付”特殊處理措施解除通知書》（見附件</w:t>
      </w:r>
      <w:r>
        <w:rPr>
          <w:rFonts w:eastAsia="宋体" w:cs="仿宋_GB2312"/>
          <w:color w:val="000000"/>
          <w:sz w:val="32"/>
          <w:szCs w:val="32"/>
        </w:rPr>
        <w:t>4</w:t>
      </w:r>
      <w:r>
        <w:rPr>
          <w:rFonts w:hint="eastAsia" w:eastAsia="宋体" w:cs="仿宋_GB2312"/>
          <w:color w:val="000000"/>
          <w:sz w:val="32"/>
          <w:szCs w:val="32"/>
        </w:rPr>
        <w:t>），解除該機構申報主體的特殊處理措施。</w:t>
      </w:r>
    </w:p>
    <w:p>
      <w:pPr>
        <w:pStyle w:val="11"/>
        <w:snapToGrid w:val="0"/>
        <w:spacing w:line="360" w:lineRule="auto"/>
        <w:ind w:firstLine="643" w:firstLineChars="200"/>
        <w:jc w:val="both"/>
        <w:rPr>
          <w:rFonts w:cs="仿宋_GB2312"/>
          <w:color w:val="000000"/>
          <w:sz w:val="32"/>
          <w:szCs w:val="32"/>
        </w:rPr>
      </w:pPr>
      <w:r>
        <w:rPr>
          <w:rFonts w:hint="eastAsia" w:eastAsia="宋体" w:cs="仿宋_GB2312"/>
          <w:b/>
          <w:color w:val="000000"/>
          <w:sz w:val="32"/>
          <w:szCs w:val="32"/>
        </w:rPr>
        <w:t>第六條</w:t>
      </w:r>
      <w:r>
        <w:rPr>
          <w:rFonts w:eastAsia="宋体" w:cs="仿宋_GB2312"/>
          <w:color w:val="000000"/>
          <w:sz w:val="32"/>
          <w:szCs w:val="32"/>
        </w:rPr>
        <w:t xml:space="preserve"> </w:t>
      </w:r>
      <w:r>
        <w:rPr>
          <w:rFonts w:hint="eastAsia" w:eastAsia="宋体" w:cs="仿宋_GB2312"/>
          <w:color w:val="000000"/>
          <w:sz w:val="32"/>
          <w:szCs w:val="32"/>
        </w:rPr>
        <w:t>對在規定期限內仍未按規定辦理申報手續的機構申報主體，外匯局將延長對其執行“不申報、不解付”特殊處理措施的期限，並根據《國際收支統計申報辦法》及其他相關法規，對其進行處罰。</w:t>
      </w:r>
    </w:p>
    <w:p>
      <w:pPr>
        <w:pStyle w:val="11"/>
        <w:snapToGrid w:val="0"/>
        <w:spacing w:line="360" w:lineRule="auto"/>
        <w:ind w:firstLine="630" w:firstLineChars="196"/>
        <w:jc w:val="both"/>
        <w:rPr>
          <w:rFonts w:cs="仿宋_GB2312"/>
          <w:color w:val="000000"/>
          <w:sz w:val="30"/>
          <w:szCs w:val="30"/>
        </w:rPr>
      </w:pPr>
      <w:r>
        <w:rPr>
          <w:rFonts w:hint="eastAsia" w:eastAsia="宋体" w:cs="仿宋_GB2312"/>
          <w:b/>
          <w:color w:val="000000"/>
          <w:sz w:val="32"/>
          <w:szCs w:val="32"/>
        </w:rPr>
        <w:t>第七條</w:t>
      </w:r>
      <w:r>
        <w:rPr>
          <w:rFonts w:eastAsia="宋体" w:cs="仿宋_GB2312"/>
          <w:color w:val="000000"/>
          <w:sz w:val="32"/>
          <w:szCs w:val="32"/>
        </w:rPr>
        <w:t xml:space="preserve"> </w:t>
      </w:r>
      <w:r>
        <w:rPr>
          <w:rFonts w:hint="eastAsia" w:eastAsia="宋体" w:cs="仿宋_GB2312"/>
          <w:color w:val="000000"/>
          <w:sz w:val="32"/>
          <w:szCs w:val="32"/>
        </w:rPr>
        <w:t>本操作指引由國家外匯管理局深圳市分局負責解釋，自發布之日起施行。</w:t>
      </w:r>
    </w:p>
    <w:p>
      <w:pPr>
        <w:pStyle w:val="7"/>
        <w:rPr>
          <w:sz w:val="28"/>
          <w:szCs w:val="28"/>
        </w:rPr>
      </w:pPr>
      <w:r>
        <w:br w:type="page"/>
      </w:r>
      <w:r>
        <w:rPr>
          <w:rFonts w:hint="eastAsia" w:eastAsia="宋体"/>
          <w:sz w:val="28"/>
          <w:szCs w:val="28"/>
        </w:rPr>
        <w:t>附件</w:t>
      </w:r>
      <w:r>
        <w:rPr>
          <w:rFonts w:eastAsia="宋体"/>
          <w:sz w:val="28"/>
          <w:szCs w:val="28"/>
        </w:rPr>
        <w:t xml:space="preserve">1 </w:t>
      </w:r>
    </w:p>
    <w:p>
      <w:pPr>
        <w:pStyle w:val="7"/>
        <w:spacing w:before="240" w:beforeLines="100" w:after="613"/>
        <w:jc w:val="center"/>
        <w:rPr>
          <w:rFonts w:ascii="宋体" w:eastAsia="宋体" w:cs="宋体"/>
          <w:sz w:val="44"/>
          <w:szCs w:val="44"/>
        </w:rPr>
      </w:pPr>
      <w:r>
        <w:rPr>
          <w:rFonts w:hint="eastAsia" w:ascii="宋体" w:eastAsia="宋体" w:cs="宋体"/>
          <w:sz w:val="44"/>
          <w:szCs w:val="44"/>
        </w:rPr>
        <w:t>機構申報主體涉外收入逾期未申報名單</w:t>
      </w:r>
    </w:p>
    <w:p>
      <w:pPr>
        <w:pStyle w:val="12"/>
        <w:spacing w:line="616" w:lineRule="atLeast"/>
        <w:ind w:left="7678" w:hanging="7527"/>
        <w:rPr>
          <w:rFonts w:cs="仿宋_GB2312"/>
          <w:color w:val="000000"/>
          <w:sz w:val="32"/>
          <w:szCs w:val="32"/>
        </w:rPr>
      </w:pPr>
      <w:r>
        <w:rPr>
          <w:rFonts w:hint="eastAsia" w:eastAsia="宋体" w:cs="仿宋_GB2312"/>
          <w:color w:val="000000"/>
          <w:sz w:val="32"/>
          <w:szCs w:val="32"/>
        </w:rPr>
        <w:t>填報銀行（蓋章）</w:t>
      </w:r>
      <w:r>
        <w:rPr>
          <w:rFonts w:eastAsia="宋体" w:cs="仿宋_GB2312"/>
          <w:color w:val="000000"/>
          <w:sz w:val="32"/>
          <w:szCs w:val="32"/>
        </w:rPr>
        <w:t xml:space="preserve"> </w:t>
      </w:r>
      <w:r>
        <w:rPr>
          <w:rFonts w:hint="eastAsia" w:eastAsia="宋体" w:cs="仿宋_GB2312"/>
          <w:color w:val="000000"/>
          <w:sz w:val="32"/>
          <w:szCs w:val="32"/>
        </w:rPr>
        <w:t>：</w:t>
      </w:r>
      <w:r>
        <w:rPr>
          <w:rFonts w:eastAsia="宋体" w:cs="仿宋_GB2312"/>
          <w:color w:val="000000"/>
          <w:sz w:val="32"/>
          <w:szCs w:val="32"/>
        </w:rPr>
        <w:t xml:space="preserve">                    </w:t>
      </w:r>
      <w:r>
        <w:rPr>
          <w:rFonts w:hint="eastAsia" w:eastAsia="宋体" w:cs="仿宋_GB2312"/>
          <w:color w:val="000000"/>
          <w:sz w:val="32"/>
          <w:szCs w:val="32"/>
        </w:rPr>
        <w:t>填報日期：</w:t>
      </w:r>
      <w:r>
        <w:rPr>
          <w:rFonts w:eastAsia="宋体" w:cs="仿宋_GB2312"/>
          <w:color w:val="000000"/>
          <w:sz w:val="32"/>
          <w:szCs w:val="32"/>
        </w:rPr>
        <w:t xml:space="preserve">         </w:t>
      </w:r>
    </w:p>
    <w:p>
      <w:pPr>
        <w:pStyle w:val="12"/>
        <w:spacing w:line="616" w:lineRule="atLeast"/>
        <w:ind w:left="7892" w:leftChars="2940" w:hanging="1718" w:hangingChars="537"/>
        <w:rPr>
          <w:rFonts w:cs="仿宋_GB2312"/>
          <w:color w:val="000000"/>
          <w:sz w:val="28"/>
          <w:szCs w:val="28"/>
        </w:rPr>
      </w:pPr>
      <w:r>
        <w:rPr>
          <w:rFonts w:eastAsia="宋体" w:cs="仿宋_GB2312"/>
          <w:color w:val="000000"/>
          <w:sz w:val="32"/>
          <w:szCs w:val="32"/>
        </w:rPr>
        <w:t xml:space="preserve">      </w:t>
      </w:r>
      <w:r>
        <w:rPr>
          <w:rFonts w:hint="eastAsia" w:eastAsia="宋体" w:cs="仿宋_GB2312"/>
          <w:color w:val="000000"/>
          <w:sz w:val="32"/>
          <w:szCs w:val="32"/>
        </w:rPr>
        <w:t>單位：美元</w:t>
      </w:r>
      <w:r>
        <w:rPr>
          <w:rFonts w:eastAsia="宋体" w:cs="仿宋_GB2312"/>
          <w:color w:val="000000"/>
          <w:sz w:val="28"/>
          <w:szCs w:val="28"/>
        </w:rPr>
        <w:t xml:space="preserve"> </w:t>
      </w:r>
    </w:p>
    <w:tbl>
      <w:tblPr>
        <w:tblStyle w:val="5"/>
        <w:tblW w:w="9235" w:type="dxa"/>
        <w:tblInd w:w="0" w:type="dxa"/>
        <w:tblLayout w:type="autofit"/>
        <w:tblCellMar>
          <w:top w:w="0" w:type="dxa"/>
          <w:left w:w="108" w:type="dxa"/>
          <w:bottom w:w="0" w:type="dxa"/>
          <w:right w:w="108" w:type="dxa"/>
        </w:tblCellMar>
      </w:tblPr>
      <w:tblGrid>
        <w:gridCol w:w="974"/>
        <w:gridCol w:w="1337"/>
        <w:gridCol w:w="1341"/>
        <w:gridCol w:w="1701"/>
        <w:gridCol w:w="1418"/>
        <w:gridCol w:w="1503"/>
        <w:gridCol w:w="961"/>
      </w:tblGrid>
      <w:tr>
        <w:tblPrEx>
          <w:tblCellMar>
            <w:top w:w="0" w:type="dxa"/>
            <w:left w:w="108" w:type="dxa"/>
            <w:bottom w:w="0" w:type="dxa"/>
            <w:right w:w="108" w:type="dxa"/>
          </w:tblCellMar>
        </w:tblPrEx>
        <w:trPr>
          <w:trHeight w:val="1270" w:hRule="atLeast"/>
        </w:trPr>
        <w:tc>
          <w:tcPr>
            <w:tcW w:w="974" w:type="dxa"/>
            <w:tcBorders>
              <w:top w:val="single" w:color="000000" w:sz="4" w:space="0"/>
              <w:left w:val="single" w:color="000000" w:sz="4" w:space="0"/>
              <w:bottom w:val="single" w:color="000000" w:sz="4" w:space="0"/>
              <w:right w:val="single" w:color="000000" w:sz="4" w:space="0"/>
            </w:tcBorders>
            <w:vAlign w:val="center"/>
          </w:tcPr>
          <w:p>
            <w:pPr>
              <w:pStyle w:val="7"/>
              <w:jc w:val="center"/>
              <w:rPr>
                <w:sz w:val="28"/>
                <w:szCs w:val="28"/>
              </w:rPr>
            </w:pPr>
            <w:r>
              <w:rPr>
                <w:rFonts w:hint="eastAsia" w:eastAsia="宋体"/>
                <w:sz w:val="28"/>
                <w:szCs w:val="28"/>
              </w:rPr>
              <w:t>收匯日期</w:t>
            </w:r>
          </w:p>
        </w:tc>
        <w:tc>
          <w:tcPr>
            <w:tcW w:w="1337" w:type="dxa"/>
            <w:tcBorders>
              <w:top w:val="single" w:color="000000" w:sz="4" w:space="0"/>
              <w:left w:val="single" w:color="000000" w:sz="4" w:space="0"/>
              <w:bottom w:val="single" w:color="000000" w:sz="4" w:space="0"/>
              <w:right w:val="single" w:color="000000" w:sz="4" w:space="0"/>
            </w:tcBorders>
            <w:vAlign w:val="center"/>
          </w:tcPr>
          <w:p>
            <w:pPr>
              <w:pStyle w:val="7"/>
              <w:jc w:val="center"/>
              <w:rPr>
                <w:sz w:val="28"/>
                <w:szCs w:val="28"/>
              </w:rPr>
            </w:pPr>
            <w:r>
              <w:rPr>
                <w:rFonts w:hint="eastAsia" w:eastAsia="宋体"/>
                <w:sz w:val="28"/>
                <w:szCs w:val="28"/>
              </w:rPr>
              <w:t>機構代碼</w:t>
            </w:r>
          </w:p>
        </w:tc>
        <w:tc>
          <w:tcPr>
            <w:tcW w:w="1341" w:type="dxa"/>
            <w:tcBorders>
              <w:top w:val="single" w:color="000000" w:sz="4" w:space="0"/>
              <w:left w:val="single" w:color="000000" w:sz="4" w:space="0"/>
              <w:bottom w:val="single" w:color="000000" w:sz="4" w:space="0"/>
              <w:right w:val="single" w:color="000000" w:sz="4" w:space="0"/>
            </w:tcBorders>
            <w:vAlign w:val="center"/>
          </w:tcPr>
          <w:p>
            <w:pPr>
              <w:pStyle w:val="7"/>
              <w:jc w:val="center"/>
              <w:rPr>
                <w:sz w:val="28"/>
                <w:szCs w:val="28"/>
              </w:rPr>
            </w:pPr>
            <w:r>
              <w:rPr>
                <w:rFonts w:hint="eastAsia" w:eastAsia="宋体"/>
                <w:sz w:val="28"/>
                <w:szCs w:val="28"/>
              </w:rPr>
              <w:t>機構名稱</w:t>
            </w: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7"/>
              <w:jc w:val="center"/>
              <w:rPr>
                <w:sz w:val="28"/>
                <w:szCs w:val="28"/>
              </w:rPr>
            </w:pPr>
            <w:r>
              <w:rPr>
                <w:rFonts w:hint="eastAsia" w:eastAsia="宋体"/>
                <w:sz w:val="28"/>
                <w:szCs w:val="28"/>
              </w:rPr>
              <w:t>申報單號碼</w:t>
            </w:r>
          </w:p>
        </w:tc>
        <w:tc>
          <w:tcPr>
            <w:tcW w:w="1418" w:type="dxa"/>
            <w:tcBorders>
              <w:top w:val="single" w:color="000000" w:sz="4" w:space="0"/>
              <w:left w:val="single" w:color="000000" w:sz="4" w:space="0"/>
              <w:bottom w:val="single" w:color="000000" w:sz="4" w:space="0"/>
              <w:right w:val="single" w:color="000000" w:sz="4" w:space="0"/>
            </w:tcBorders>
            <w:vAlign w:val="center"/>
          </w:tcPr>
          <w:p>
            <w:pPr>
              <w:pStyle w:val="7"/>
              <w:jc w:val="center"/>
              <w:rPr>
                <w:sz w:val="28"/>
                <w:szCs w:val="28"/>
              </w:rPr>
            </w:pPr>
            <w:r>
              <w:rPr>
                <w:rFonts w:hint="eastAsia" w:eastAsia="宋体"/>
                <w:sz w:val="28"/>
                <w:szCs w:val="28"/>
              </w:rPr>
              <w:t>逾期未申報金額</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7"/>
              <w:jc w:val="center"/>
              <w:rPr>
                <w:sz w:val="28"/>
                <w:szCs w:val="28"/>
              </w:rPr>
            </w:pPr>
            <w:r>
              <w:rPr>
                <w:rFonts w:hint="eastAsia" w:eastAsia="宋体"/>
                <w:sz w:val="28"/>
                <w:szCs w:val="28"/>
              </w:rPr>
              <w:t>折美元</w:t>
            </w:r>
          </w:p>
        </w:tc>
        <w:tc>
          <w:tcPr>
            <w:tcW w:w="961" w:type="dxa"/>
            <w:tcBorders>
              <w:top w:val="single" w:color="000000" w:sz="4" w:space="0"/>
              <w:left w:val="single" w:color="000000" w:sz="4" w:space="0"/>
              <w:bottom w:val="single" w:color="000000" w:sz="4" w:space="0"/>
              <w:right w:val="single" w:color="000000" w:sz="4" w:space="0"/>
            </w:tcBorders>
            <w:vAlign w:val="center"/>
          </w:tcPr>
          <w:p>
            <w:pPr>
              <w:pStyle w:val="7"/>
              <w:jc w:val="center"/>
              <w:rPr>
                <w:sz w:val="28"/>
                <w:szCs w:val="28"/>
              </w:rPr>
            </w:pPr>
            <w:r>
              <w:rPr>
                <w:rFonts w:hint="eastAsia" w:eastAsia="宋体"/>
                <w:sz w:val="28"/>
                <w:szCs w:val="28"/>
              </w:rPr>
              <w:t>逾期</w:t>
            </w:r>
          </w:p>
          <w:p>
            <w:pPr>
              <w:pStyle w:val="7"/>
              <w:jc w:val="center"/>
              <w:rPr>
                <w:sz w:val="28"/>
                <w:szCs w:val="28"/>
              </w:rPr>
            </w:pPr>
            <w:r>
              <w:rPr>
                <w:rFonts w:hint="eastAsia" w:eastAsia="宋体"/>
                <w:sz w:val="28"/>
                <w:szCs w:val="28"/>
              </w:rPr>
              <w:t>天數</w:t>
            </w:r>
          </w:p>
        </w:tc>
      </w:tr>
      <w:tr>
        <w:tblPrEx>
          <w:tblCellMar>
            <w:top w:w="0" w:type="dxa"/>
            <w:left w:w="108" w:type="dxa"/>
            <w:bottom w:w="0" w:type="dxa"/>
            <w:right w:w="108" w:type="dxa"/>
          </w:tblCellMar>
        </w:tblPrEx>
        <w:trPr>
          <w:trHeight w:val="633" w:hRule="atLeast"/>
        </w:trPr>
        <w:tc>
          <w:tcPr>
            <w:tcW w:w="974" w:type="dxa"/>
            <w:tcBorders>
              <w:top w:val="single" w:color="000000" w:sz="4" w:space="0"/>
              <w:left w:val="single" w:color="000000" w:sz="4" w:space="0"/>
              <w:bottom w:val="single" w:color="000000" w:sz="4" w:space="0"/>
              <w:right w:val="single" w:color="000000" w:sz="4" w:space="0"/>
            </w:tcBorders>
          </w:tcPr>
          <w:p>
            <w:pPr>
              <w:pStyle w:val="7"/>
              <w:rPr>
                <w:rFonts w:cs="Times New Roman"/>
                <w:color w:val="auto"/>
              </w:rPr>
            </w:pPr>
          </w:p>
        </w:tc>
        <w:tc>
          <w:tcPr>
            <w:tcW w:w="1337" w:type="dxa"/>
            <w:tcBorders>
              <w:top w:val="single" w:color="000000" w:sz="4" w:space="0"/>
              <w:left w:val="single" w:color="000000" w:sz="4" w:space="0"/>
              <w:bottom w:val="single" w:color="000000" w:sz="4" w:space="0"/>
              <w:right w:val="single" w:color="000000" w:sz="4" w:space="0"/>
            </w:tcBorders>
          </w:tcPr>
          <w:p>
            <w:pPr>
              <w:pStyle w:val="7"/>
              <w:rPr>
                <w:rFonts w:cs="Times New Roman"/>
                <w:color w:val="auto"/>
              </w:rPr>
            </w:pPr>
          </w:p>
        </w:tc>
        <w:tc>
          <w:tcPr>
            <w:tcW w:w="1341" w:type="dxa"/>
            <w:tcBorders>
              <w:top w:val="single" w:color="000000" w:sz="4" w:space="0"/>
              <w:left w:val="single" w:color="000000" w:sz="4" w:space="0"/>
              <w:bottom w:val="single" w:color="000000" w:sz="4" w:space="0"/>
              <w:right w:val="single" w:color="000000" w:sz="4" w:space="0"/>
            </w:tcBorders>
          </w:tcPr>
          <w:p>
            <w:pPr>
              <w:pStyle w:val="7"/>
              <w:rPr>
                <w:rFonts w:cs="Times New Roman"/>
                <w:color w:val="auto"/>
              </w:rPr>
            </w:pPr>
          </w:p>
        </w:tc>
        <w:tc>
          <w:tcPr>
            <w:tcW w:w="1701" w:type="dxa"/>
            <w:tcBorders>
              <w:top w:val="single" w:color="000000" w:sz="4" w:space="0"/>
              <w:left w:val="single" w:color="000000" w:sz="4" w:space="0"/>
              <w:bottom w:val="single" w:color="000000" w:sz="4" w:space="0"/>
              <w:right w:val="single" w:color="000000" w:sz="4" w:space="0"/>
            </w:tcBorders>
          </w:tcPr>
          <w:p>
            <w:pPr>
              <w:pStyle w:val="7"/>
              <w:rPr>
                <w:rFonts w:cs="Times New Roman"/>
                <w:color w:val="auto"/>
              </w:rPr>
            </w:pPr>
          </w:p>
        </w:tc>
        <w:tc>
          <w:tcPr>
            <w:tcW w:w="1418" w:type="dxa"/>
            <w:tcBorders>
              <w:top w:val="single" w:color="000000" w:sz="4" w:space="0"/>
              <w:left w:val="single" w:color="000000" w:sz="4" w:space="0"/>
              <w:bottom w:val="single" w:color="000000" w:sz="4" w:space="0"/>
              <w:right w:val="single" w:color="000000" w:sz="4" w:space="0"/>
            </w:tcBorders>
          </w:tcPr>
          <w:p>
            <w:pPr>
              <w:pStyle w:val="7"/>
              <w:rPr>
                <w:rFonts w:cs="Times New Roman"/>
                <w:color w:val="auto"/>
              </w:rPr>
            </w:pPr>
          </w:p>
        </w:tc>
        <w:tc>
          <w:tcPr>
            <w:tcW w:w="1503" w:type="dxa"/>
            <w:tcBorders>
              <w:top w:val="single" w:color="000000" w:sz="4" w:space="0"/>
              <w:left w:val="single" w:color="000000" w:sz="4" w:space="0"/>
              <w:bottom w:val="single" w:color="000000" w:sz="4" w:space="0"/>
              <w:right w:val="single" w:color="000000" w:sz="4" w:space="0"/>
            </w:tcBorders>
          </w:tcPr>
          <w:p>
            <w:pPr>
              <w:pStyle w:val="7"/>
              <w:jc w:val="center"/>
              <w:rPr>
                <w:rFonts w:cs="Times New Roman"/>
                <w:color w:val="auto"/>
              </w:rPr>
            </w:pPr>
          </w:p>
        </w:tc>
        <w:tc>
          <w:tcPr>
            <w:tcW w:w="961" w:type="dxa"/>
            <w:tcBorders>
              <w:top w:val="single" w:color="000000" w:sz="4" w:space="0"/>
              <w:left w:val="single" w:color="000000" w:sz="4" w:space="0"/>
              <w:bottom w:val="single" w:color="000000" w:sz="4" w:space="0"/>
              <w:right w:val="single" w:color="000000" w:sz="4" w:space="0"/>
            </w:tcBorders>
          </w:tcPr>
          <w:p>
            <w:pPr>
              <w:pStyle w:val="7"/>
              <w:rPr>
                <w:rFonts w:cs="Times New Roman"/>
                <w:color w:val="auto"/>
              </w:rPr>
            </w:pPr>
          </w:p>
        </w:tc>
      </w:tr>
      <w:tr>
        <w:tblPrEx>
          <w:tblCellMar>
            <w:top w:w="0" w:type="dxa"/>
            <w:left w:w="108" w:type="dxa"/>
            <w:bottom w:w="0" w:type="dxa"/>
            <w:right w:w="108" w:type="dxa"/>
          </w:tblCellMar>
        </w:tblPrEx>
        <w:trPr>
          <w:trHeight w:val="633" w:hRule="atLeast"/>
        </w:trPr>
        <w:tc>
          <w:tcPr>
            <w:tcW w:w="974" w:type="dxa"/>
            <w:tcBorders>
              <w:top w:val="single" w:color="000000" w:sz="4" w:space="0"/>
              <w:left w:val="single" w:color="000000" w:sz="4" w:space="0"/>
              <w:bottom w:val="single" w:color="000000" w:sz="4" w:space="0"/>
              <w:right w:val="single" w:color="000000" w:sz="4" w:space="0"/>
            </w:tcBorders>
          </w:tcPr>
          <w:p>
            <w:pPr>
              <w:pStyle w:val="7"/>
              <w:rPr>
                <w:rFonts w:cs="Times New Roman"/>
                <w:color w:val="auto"/>
              </w:rPr>
            </w:pPr>
          </w:p>
        </w:tc>
        <w:tc>
          <w:tcPr>
            <w:tcW w:w="1337" w:type="dxa"/>
            <w:tcBorders>
              <w:top w:val="single" w:color="000000" w:sz="4" w:space="0"/>
              <w:left w:val="single" w:color="000000" w:sz="4" w:space="0"/>
              <w:bottom w:val="single" w:color="000000" w:sz="4" w:space="0"/>
              <w:right w:val="single" w:color="000000" w:sz="4" w:space="0"/>
            </w:tcBorders>
          </w:tcPr>
          <w:p>
            <w:pPr>
              <w:pStyle w:val="7"/>
              <w:rPr>
                <w:rFonts w:cs="Times New Roman"/>
                <w:color w:val="auto"/>
              </w:rPr>
            </w:pPr>
          </w:p>
        </w:tc>
        <w:tc>
          <w:tcPr>
            <w:tcW w:w="1341" w:type="dxa"/>
            <w:tcBorders>
              <w:top w:val="single" w:color="000000" w:sz="4" w:space="0"/>
              <w:left w:val="single" w:color="000000" w:sz="4" w:space="0"/>
              <w:bottom w:val="single" w:color="000000" w:sz="4" w:space="0"/>
              <w:right w:val="single" w:color="000000" w:sz="4" w:space="0"/>
            </w:tcBorders>
          </w:tcPr>
          <w:p>
            <w:pPr>
              <w:pStyle w:val="7"/>
              <w:rPr>
                <w:rFonts w:cs="Times New Roman"/>
                <w:color w:val="auto"/>
              </w:rPr>
            </w:pPr>
          </w:p>
        </w:tc>
        <w:tc>
          <w:tcPr>
            <w:tcW w:w="1701" w:type="dxa"/>
            <w:tcBorders>
              <w:top w:val="single" w:color="000000" w:sz="4" w:space="0"/>
              <w:left w:val="single" w:color="000000" w:sz="4" w:space="0"/>
              <w:bottom w:val="single" w:color="000000" w:sz="4" w:space="0"/>
              <w:right w:val="single" w:color="000000" w:sz="4" w:space="0"/>
            </w:tcBorders>
          </w:tcPr>
          <w:p>
            <w:pPr>
              <w:pStyle w:val="7"/>
              <w:rPr>
                <w:rFonts w:cs="Times New Roman"/>
                <w:color w:val="auto"/>
              </w:rPr>
            </w:pPr>
          </w:p>
        </w:tc>
        <w:tc>
          <w:tcPr>
            <w:tcW w:w="1418" w:type="dxa"/>
            <w:tcBorders>
              <w:top w:val="single" w:color="000000" w:sz="4" w:space="0"/>
              <w:left w:val="single" w:color="000000" w:sz="4" w:space="0"/>
              <w:bottom w:val="single" w:color="000000" w:sz="4" w:space="0"/>
              <w:right w:val="single" w:color="000000" w:sz="4" w:space="0"/>
            </w:tcBorders>
          </w:tcPr>
          <w:p>
            <w:pPr>
              <w:pStyle w:val="7"/>
              <w:rPr>
                <w:rFonts w:cs="Times New Roman"/>
                <w:color w:val="auto"/>
              </w:rPr>
            </w:pPr>
          </w:p>
        </w:tc>
        <w:tc>
          <w:tcPr>
            <w:tcW w:w="1503" w:type="dxa"/>
            <w:tcBorders>
              <w:top w:val="single" w:color="000000" w:sz="4" w:space="0"/>
              <w:left w:val="single" w:color="000000" w:sz="4" w:space="0"/>
              <w:bottom w:val="single" w:color="000000" w:sz="4" w:space="0"/>
              <w:right w:val="single" w:color="000000" w:sz="4" w:space="0"/>
            </w:tcBorders>
          </w:tcPr>
          <w:p>
            <w:pPr>
              <w:pStyle w:val="7"/>
              <w:jc w:val="center"/>
              <w:rPr>
                <w:rFonts w:cs="Times New Roman"/>
                <w:color w:val="auto"/>
              </w:rPr>
            </w:pPr>
          </w:p>
        </w:tc>
        <w:tc>
          <w:tcPr>
            <w:tcW w:w="961" w:type="dxa"/>
            <w:tcBorders>
              <w:top w:val="single" w:color="000000" w:sz="4" w:space="0"/>
              <w:left w:val="single" w:color="000000" w:sz="4" w:space="0"/>
              <w:bottom w:val="single" w:color="000000" w:sz="4" w:space="0"/>
              <w:right w:val="single" w:color="000000" w:sz="4" w:space="0"/>
            </w:tcBorders>
          </w:tcPr>
          <w:p>
            <w:pPr>
              <w:pStyle w:val="7"/>
              <w:rPr>
                <w:rFonts w:cs="Times New Roman"/>
                <w:color w:val="auto"/>
              </w:rPr>
            </w:pPr>
          </w:p>
        </w:tc>
      </w:tr>
      <w:tr>
        <w:tblPrEx>
          <w:tblCellMar>
            <w:top w:w="0" w:type="dxa"/>
            <w:left w:w="108" w:type="dxa"/>
            <w:bottom w:w="0" w:type="dxa"/>
            <w:right w:w="108" w:type="dxa"/>
          </w:tblCellMar>
        </w:tblPrEx>
        <w:trPr>
          <w:trHeight w:val="633" w:hRule="atLeast"/>
        </w:trPr>
        <w:tc>
          <w:tcPr>
            <w:tcW w:w="974" w:type="dxa"/>
            <w:tcBorders>
              <w:top w:val="single" w:color="000000" w:sz="4" w:space="0"/>
              <w:left w:val="single" w:color="000000" w:sz="4" w:space="0"/>
              <w:bottom w:val="single" w:color="000000" w:sz="4" w:space="0"/>
              <w:right w:val="single" w:color="000000" w:sz="4" w:space="0"/>
            </w:tcBorders>
          </w:tcPr>
          <w:p>
            <w:pPr>
              <w:pStyle w:val="7"/>
              <w:rPr>
                <w:rFonts w:cs="Times New Roman"/>
                <w:color w:val="auto"/>
              </w:rPr>
            </w:pPr>
          </w:p>
        </w:tc>
        <w:tc>
          <w:tcPr>
            <w:tcW w:w="1337" w:type="dxa"/>
            <w:tcBorders>
              <w:top w:val="single" w:color="000000" w:sz="4" w:space="0"/>
              <w:left w:val="single" w:color="000000" w:sz="4" w:space="0"/>
              <w:bottom w:val="single" w:color="000000" w:sz="4" w:space="0"/>
              <w:right w:val="single" w:color="000000" w:sz="4" w:space="0"/>
            </w:tcBorders>
          </w:tcPr>
          <w:p>
            <w:pPr>
              <w:pStyle w:val="7"/>
              <w:rPr>
                <w:rFonts w:cs="Times New Roman"/>
                <w:color w:val="auto"/>
              </w:rPr>
            </w:pPr>
          </w:p>
        </w:tc>
        <w:tc>
          <w:tcPr>
            <w:tcW w:w="1341" w:type="dxa"/>
            <w:tcBorders>
              <w:top w:val="single" w:color="000000" w:sz="4" w:space="0"/>
              <w:left w:val="single" w:color="000000" w:sz="4" w:space="0"/>
              <w:bottom w:val="single" w:color="000000" w:sz="4" w:space="0"/>
              <w:right w:val="single" w:color="000000" w:sz="4" w:space="0"/>
            </w:tcBorders>
          </w:tcPr>
          <w:p>
            <w:pPr>
              <w:pStyle w:val="7"/>
              <w:rPr>
                <w:rFonts w:cs="Times New Roman"/>
                <w:color w:val="auto"/>
              </w:rPr>
            </w:pPr>
          </w:p>
        </w:tc>
        <w:tc>
          <w:tcPr>
            <w:tcW w:w="1701" w:type="dxa"/>
            <w:tcBorders>
              <w:top w:val="single" w:color="000000" w:sz="4" w:space="0"/>
              <w:left w:val="single" w:color="000000" w:sz="4" w:space="0"/>
              <w:bottom w:val="single" w:color="000000" w:sz="4" w:space="0"/>
              <w:right w:val="single" w:color="000000" w:sz="4" w:space="0"/>
            </w:tcBorders>
          </w:tcPr>
          <w:p>
            <w:pPr>
              <w:pStyle w:val="7"/>
              <w:rPr>
                <w:rFonts w:cs="Times New Roman"/>
                <w:color w:val="auto"/>
              </w:rPr>
            </w:pPr>
          </w:p>
        </w:tc>
        <w:tc>
          <w:tcPr>
            <w:tcW w:w="1418" w:type="dxa"/>
            <w:tcBorders>
              <w:top w:val="single" w:color="000000" w:sz="4" w:space="0"/>
              <w:left w:val="single" w:color="000000" w:sz="4" w:space="0"/>
              <w:bottom w:val="single" w:color="000000" w:sz="4" w:space="0"/>
              <w:right w:val="single" w:color="000000" w:sz="4" w:space="0"/>
            </w:tcBorders>
          </w:tcPr>
          <w:p>
            <w:pPr>
              <w:pStyle w:val="7"/>
              <w:rPr>
                <w:rFonts w:cs="Times New Roman"/>
                <w:color w:val="auto"/>
              </w:rPr>
            </w:pPr>
          </w:p>
        </w:tc>
        <w:tc>
          <w:tcPr>
            <w:tcW w:w="1503" w:type="dxa"/>
            <w:tcBorders>
              <w:top w:val="single" w:color="000000" w:sz="4" w:space="0"/>
              <w:left w:val="single" w:color="000000" w:sz="4" w:space="0"/>
              <w:bottom w:val="single" w:color="000000" w:sz="4" w:space="0"/>
              <w:right w:val="single" w:color="000000" w:sz="4" w:space="0"/>
            </w:tcBorders>
          </w:tcPr>
          <w:p>
            <w:pPr>
              <w:pStyle w:val="7"/>
              <w:jc w:val="center"/>
              <w:rPr>
                <w:rFonts w:cs="Times New Roman"/>
                <w:color w:val="auto"/>
              </w:rPr>
            </w:pPr>
          </w:p>
        </w:tc>
        <w:tc>
          <w:tcPr>
            <w:tcW w:w="961" w:type="dxa"/>
            <w:tcBorders>
              <w:top w:val="single" w:color="000000" w:sz="4" w:space="0"/>
              <w:left w:val="single" w:color="000000" w:sz="4" w:space="0"/>
              <w:bottom w:val="single" w:color="000000" w:sz="4" w:space="0"/>
              <w:right w:val="single" w:color="000000" w:sz="4" w:space="0"/>
            </w:tcBorders>
          </w:tcPr>
          <w:p>
            <w:pPr>
              <w:pStyle w:val="7"/>
              <w:rPr>
                <w:rFonts w:cs="Times New Roman"/>
                <w:color w:val="auto"/>
              </w:rPr>
            </w:pPr>
          </w:p>
        </w:tc>
      </w:tr>
      <w:tr>
        <w:tblPrEx>
          <w:tblCellMar>
            <w:top w:w="0" w:type="dxa"/>
            <w:left w:w="108" w:type="dxa"/>
            <w:bottom w:w="0" w:type="dxa"/>
            <w:right w:w="108" w:type="dxa"/>
          </w:tblCellMar>
        </w:tblPrEx>
        <w:trPr>
          <w:trHeight w:val="635" w:hRule="atLeast"/>
        </w:trPr>
        <w:tc>
          <w:tcPr>
            <w:tcW w:w="974" w:type="dxa"/>
            <w:tcBorders>
              <w:top w:val="single" w:color="000000" w:sz="4" w:space="0"/>
              <w:left w:val="single" w:color="000000" w:sz="4" w:space="0"/>
              <w:bottom w:val="single" w:color="000000" w:sz="4" w:space="0"/>
              <w:right w:val="single" w:color="000000" w:sz="4" w:space="0"/>
            </w:tcBorders>
          </w:tcPr>
          <w:p>
            <w:pPr>
              <w:pStyle w:val="7"/>
              <w:rPr>
                <w:rFonts w:cs="Times New Roman"/>
                <w:color w:val="auto"/>
              </w:rPr>
            </w:pPr>
          </w:p>
        </w:tc>
        <w:tc>
          <w:tcPr>
            <w:tcW w:w="1337" w:type="dxa"/>
            <w:tcBorders>
              <w:top w:val="single" w:color="000000" w:sz="4" w:space="0"/>
              <w:left w:val="single" w:color="000000" w:sz="4" w:space="0"/>
              <w:bottom w:val="single" w:color="000000" w:sz="4" w:space="0"/>
              <w:right w:val="single" w:color="000000" w:sz="4" w:space="0"/>
            </w:tcBorders>
          </w:tcPr>
          <w:p>
            <w:pPr>
              <w:pStyle w:val="7"/>
              <w:rPr>
                <w:rFonts w:cs="Times New Roman"/>
                <w:color w:val="auto"/>
              </w:rPr>
            </w:pPr>
          </w:p>
        </w:tc>
        <w:tc>
          <w:tcPr>
            <w:tcW w:w="1341" w:type="dxa"/>
            <w:tcBorders>
              <w:top w:val="single" w:color="000000" w:sz="4" w:space="0"/>
              <w:left w:val="single" w:color="000000" w:sz="4" w:space="0"/>
              <w:bottom w:val="single" w:color="000000" w:sz="4" w:space="0"/>
              <w:right w:val="single" w:color="000000" w:sz="4" w:space="0"/>
            </w:tcBorders>
          </w:tcPr>
          <w:p>
            <w:pPr>
              <w:pStyle w:val="7"/>
              <w:rPr>
                <w:rFonts w:cs="Times New Roman"/>
                <w:color w:val="auto"/>
              </w:rPr>
            </w:pPr>
          </w:p>
        </w:tc>
        <w:tc>
          <w:tcPr>
            <w:tcW w:w="1701" w:type="dxa"/>
            <w:tcBorders>
              <w:top w:val="single" w:color="000000" w:sz="4" w:space="0"/>
              <w:left w:val="single" w:color="000000" w:sz="4" w:space="0"/>
              <w:bottom w:val="single" w:color="000000" w:sz="4" w:space="0"/>
              <w:right w:val="single" w:color="000000" w:sz="4" w:space="0"/>
            </w:tcBorders>
          </w:tcPr>
          <w:p>
            <w:pPr>
              <w:pStyle w:val="7"/>
              <w:rPr>
                <w:rFonts w:cs="Times New Roman"/>
                <w:color w:val="auto"/>
              </w:rPr>
            </w:pPr>
          </w:p>
        </w:tc>
        <w:tc>
          <w:tcPr>
            <w:tcW w:w="1418" w:type="dxa"/>
            <w:tcBorders>
              <w:top w:val="single" w:color="000000" w:sz="4" w:space="0"/>
              <w:left w:val="single" w:color="000000" w:sz="4" w:space="0"/>
              <w:bottom w:val="single" w:color="000000" w:sz="4" w:space="0"/>
              <w:right w:val="single" w:color="000000" w:sz="4" w:space="0"/>
            </w:tcBorders>
          </w:tcPr>
          <w:p>
            <w:pPr>
              <w:pStyle w:val="7"/>
              <w:rPr>
                <w:rFonts w:cs="Times New Roman"/>
                <w:color w:val="auto"/>
              </w:rPr>
            </w:pPr>
          </w:p>
        </w:tc>
        <w:tc>
          <w:tcPr>
            <w:tcW w:w="1503" w:type="dxa"/>
            <w:tcBorders>
              <w:top w:val="single" w:color="000000" w:sz="4" w:space="0"/>
              <w:left w:val="single" w:color="000000" w:sz="4" w:space="0"/>
              <w:bottom w:val="single" w:color="000000" w:sz="4" w:space="0"/>
              <w:right w:val="single" w:color="000000" w:sz="4" w:space="0"/>
            </w:tcBorders>
          </w:tcPr>
          <w:p>
            <w:pPr>
              <w:pStyle w:val="7"/>
              <w:jc w:val="center"/>
              <w:rPr>
                <w:rFonts w:cs="Times New Roman"/>
                <w:color w:val="auto"/>
              </w:rPr>
            </w:pPr>
          </w:p>
        </w:tc>
        <w:tc>
          <w:tcPr>
            <w:tcW w:w="961" w:type="dxa"/>
            <w:tcBorders>
              <w:top w:val="single" w:color="000000" w:sz="4" w:space="0"/>
              <w:left w:val="single" w:color="000000" w:sz="4" w:space="0"/>
              <w:bottom w:val="single" w:color="000000" w:sz="4" w:space="0"/>
              <w:right w:val="single" w:color="000000" w:sz="4" w:space="0"/>
            </w:tcBorders>
          </w:tcPr>
          <w:p>
            <w:pPr>
              <w:pStyle w:val="7"/>
              <w:rPr>
                <w:rFonts w:cs="Times New Roman"/>
                <w:color w:val="auto"/>
              </w:rPr>
            </w:pPr>
          </w:p>
        </w:tc>
      </w:tr>
      <w:tr>
        <w:tblPrEx>
          <w:tblCellMar>
            <w:top w:w="0" w:type="dxa"/>
            <w:left w:w="108" w:type="dxa"/>
            <w:bottom w:w="0" w:type="dxa"/>
            <w:right w:w="108" w:type="dxa"/>
          </w:tblCellMar>
        </w:tblPrEx>
        <w:trPr>
          <w:trHeight w:val="633" w:hRule="atLeast"/>
        </w:trPr>
        <w:tc>
          <w:tcPr>
            <w:tcW w:w="974" w:type="dxa"/>
            <w:tcBorders>
              <w:top w:val="single" w:color="000000" w:sz="4" w:space="0"/>
              <w:left w:val="single" w:color="000000" w:sz="4" w:space="0"/>
              <w:bottom w:val="single" w:color="000000" w:sz="4" w:space="0"/>
              <w:right w:val="single" w:color="000000" w:sz="4" w:space="0"/>
            </w:tcBorders>
          </w:tcPr>
          <w:p>
            <w:pPr>
              <w:pStyle w:val="7"/>
              <w:rPr>
                <w:rFonts w:cs="Times New Roman"/>
                <w:color w:val="auto"/>
              </w:rPr>
            </w:pPr>
          </w:p>
        </w:tc>
        <w:tc>
          <w:tcPr>
            <w:tcW w:w="1337" w:type="dxa"/>
            <w:tcBorders>
              <w:top w:val="single" w:color="000000" w:sz="4" w:space="0"/>
              <w:left w:val="single" w:color="000000" w:sz="4" w:space="0"/>
              <w:bottom w:val="single" w:color="000000" w:sz="4" w:space="0"/>
              <w:right w:val="single" w:color="000000" w:sz="4" w:space="0"/>
            </w:tcBorders>
          </w:tcPr>
          <w:p>
            <w:pPr>
              <w:pStyle w:val="7"/>
              <w:rPr>
                <w:rFonts w:cs="Times New Roman"/>
                <w:color w:val="auto"/>
              </w:rPr>
            </w:pPr>
          </w:p>
        </w:tc>
        <w:tc>
          <w:tcPr>
            <w:tcW w:w="1341" w:type="dxa"/>
            <w:tcBorders>
              <w:top w:val="single" w:color="000000" w:sz="4" w:space="0"/>
              <w:left w:val="single" w:color="000000" w:sz="4" w:space="0"/>
              <w:bottom w:val="single" w:color="000000" w:sz="4" w:space="0"/>
              <w:right w:val="single" w:color="000000" w:sz="4" w:space="0"/>
            </w:tcBorders>
          </w:tcPr>
          <w:p>
            <w:pPr>
              <w:pStyle w:val="7"/>
              <w:rPr>
                <w:rFonts w:cs="Times New Roman"/>
                <w:color w:val="auto"/>
              </w:rPr>
            </w:pPr>
          </w:p>
        </w:tc>
        <w:tc>
          <w:tcPr>
            <w:tcW w:w="1701" w:type="dxa"/>
            <w:tcBorders>
              <w:top w:val="single" w:color="000000" w:sz="4" w:space="0"/>
              <w:left w:val="single" w:color="000000" w:sz="4" w:space="0"/>
              <w:bottom w:val="single" w:color="000000" w:sz="4" w:space="0"/>
              <w:right w:val="single" w:color="000000" w:sz="4" w:space="0"/>
            </w:tcBorders>
          </w:tcPr>
          <w:p>
            <w:pPr>
              <w:pStyle w:val="7"/>
              <w:rPr>
                <w:rFonts w:cs="Times New Roman"/>
                <w:color w:val="auto"/>
              </w:rPr>
            </w:pPr>
          </w:p>
        </w:tc>
        <w:tc>
          <w:tcPr>
            <w:tcW w:w="1418" w:type="dxa"/>
            <w:tcBorders>
              <w:top w:val="single" w:color="000000" w:sz="4" w:space="0"/>
              <w:left w:val="single" w:color="000000" w:sz="4" w:space="0"/>
              <w:bottom w:val="single" w:color="000000" w:sz="4" w:space="0"/>
              <w:right w:val="single" w:color="000000" w:sz="4" w:space="0"/>
            </w:tcBorders>
          </w:tcPr>
          <w:p>
            <w:pPr>
              <w:pStyle w:val="7"/>
              <w:rPr>
                <w:rFonts w:cs="Times New Roman"/>
                <w:color w:val="auto"/>
              </w:rPr>
            </w:pPr>
          </w:p>
        </w:tc>
        <w:tc>
          <w:tcPr>
            <w:tcW w:w="1503" w:type="dxa"/>
            <w:tcBorders>
              <w:top w:val="single" w:color="000000" w:sz="4" w:space="0"/>
              <w:left w:val="single" w:color="000000" w:sz="4" w:space="0"/>
              <w:bottom w:val="single" w:color="000000" w:sz="4" w:space="0"/>
              <w:right w:val="single" w:color="000000" w:sz="4" w:space="0"/>
            </w:tcBorders>
          </w:tcPr>
          <w:p>
            <w:pPr>
              <w:pStyle w:val="7"/>
              <w:jc w:val="center"/>
              <w:rPr>
                <w:rFonts w:cs="Times New Roman"/>
                <w:color w:val="auto"/>
              </w:rPr>
            </w:pPr>
          </w:p>
        </w:tc>
        <w:tc>
          <w:tcPr>
            <w:tcW w:w="961" w:type="dxa"/>
            <w:tcBorders>
              <w:top w:val="single" w:color="000000" w:sz="4" w:space="0"/>
              <w:left w:val="single" w:color="000000" w:sz="4" w:space="0"/>
              <w:bottom w:val="single" w:color="000000" w:sz="4" w:space="0"/>
              <w:right w:val="single" w:color="000000" w:sz="4" w:space="0"/>
            </w:tcBorders>
          </w:tcPr>
          <w:p>
            <w:pPr>
              <w:pStyle w:val="7"/>
              <w:rPr>
                <w:rFonts w:cs="Times New Roman"/>
                <w:color w:val="auto"/>
              </w:rPr>
            </w:pPr>
          </w:p>
        </w:tc>
      </w:tr>
      <w:tr>
        <w:tblPrEx>
          <w:tblCellMar>
            <w:top w:w="0" w:type="dxa"/>
            <w:left w:w="108" w:type="dxa"/>
            <w:bottom w:w="0" w:type="dxa"/>
            <w:right w:w="108" w:type="dxa"/>
          </w:tblCellMar>
        </w:tblPrEx>
        <w:trPr>
          <w:trHeight w:val="633" w:hRule="atLeast"/>
        </w:trPr>
        <w:tc>
          <w:tcPr>
            <w:tcW w:w="974" w:type="dxa"/>
            <w:tcBorders>
              <w:top w:val="single" w:color="000000" w:sz="4" w:space="0"/>
              <w:left w:val="single" w:color="000000" w:sz="4" w:space="0"/>
              <w:bottom w:val="single" w:color="000000" w:sz="4" w:space="0"/>
              <w:right w:val="single" w:color="000000" w:sz="4" w:space="0"/>
            </w:tcBorders>
          </w:tcPr>
          <w:p>
            <w:pPr>
              <w:pStyle w:val="7"/>
              <w:rPr>
                <w:rFonts w:cs="Times New Roman"/>
                <w:color w:val="auto"/>
              </w:rPr>
            </w:pPr>
          </w:p>
        </w:tc>
        <w:tc>
          <w:tcPr>
            <w:tcW w:w="1337" w:type="dxa"/>
            <w:tcBorders>
              <w:top w:val="single" w:color="000000" w:sz="4" w:space="0"/>
              <w:left w:val="single" w:color="000000" w:sz="4" w:space="0"/>
              <w:bottom w:val="single" w:color="000000" w:sz="4" w:space="0"/>
              <w:right w:val="single" w:color="000000" w:sz="4" w:space="0"/>
            </w:tcBorders>
          </w:tcPr>
          <w:p>
            <w:pPr>
              <w:pStyle w:val="7"/>
              <w:rPr>
                <w:rFonts w:cs="Times New Roman"/>
                <w:color w:val="auto"/>
              </w:rPr>
            </w:pPr>
          </w:p>
        </w:tc>
        <w:tc>
          <w:tcPr>
            <w:tcW w:w="1341" w:type="dxa"/>
            <w:tcBorders>
              <w:top w:val="single" w:color="000000" w:sz="4" w:space="0"/>
              <w:left w:val="single" w:color="000000" w:sz="4" w:space="0"/>
              <w:bottom w:val="single" w:color="000000" w:sz="4" w:space="0"/>
              <w:right w:val="single" w:color="000000" w:sz="4" w:space="0"/>
            </w:tcBorders>
          </w:tcPr>
          <w:p>
            <w:pPr>
              <w:pStyle w:val="7"/>
              <w:rPr>
                <w:rFonts w:cs="Times New Roman"/>
                <w:color w:val="auto"/>
              </w:rPr>
            </w:pPr>
          </w:p>
        </w:tc>
        <w:tc>
          <w:tcPr>
            <w:tcW w:w="1701" w:type="dxa"/>
            <w:tcBorders>
              <w:top w:val="single" w:color="000000" w:sz="4" w:space="0"/>
              <w:left w:val="single" w:color="000000" w:sz="4" w:space="0"/>
              <w:bottom w:val="single" w:color="000000" w:sz="4" w:space="0"/>
              <w:right w:val="single" w:color="000000" w:sz="4" w:space="0"/>
            </w:tcBorders>
          </w:tcPr>
          <w:p>
            <w:pPr>
              <w:pStyle w:val="7"/>
              <w:rPr>
                <w:rFonts w:cs="Times New Roman"/>
                <w:color w:val="auto"/>
              </w:rPr>
            </w:pPr>
          </w:p>
        </w:tc>
        <w:tc>
          <w:tcPr>
            <w:tcW w:w="1418" w:type="dxa"/>
            <w:tcBorders>
              <w:top w:val="single" w:color="000000" w:sz="4" w:space="0"/>
              <w:left w:val="single" w:color="000000" w:sz="4" w:space="0"/>
              <w:bottom w:val="single" w:color="000000" w:sz="4" w:space="0"/>
              <w:right w:val="single" w:color="000000" w:sz="4" w:space="0"/>
            </w:tcBorders>
          </w:tcPr>
          <w:p>
            <w:pPr>
              <w:pStyle w:val="7"/>
              <w:rPr>
                <w:rFonts w:cs="Times New Roman"/>
                <w:color w:val="auto"/>
              </w:rPr>
            </w:pPr>
          </w:p>
        </w:tc>
        <w:tc>
          <w:tcPr>
            <w:tcW w:w="1503" w:type="dxa"/>
            <w:tcBorders>
              <w:top w:val="single" w:color="000000" w:sz="4" w:space="0"/>
              <w:left w:val="single" w:color="000000" w:sz="4" w:space="0"/>
              <w:bottom w:val="single" w:color="000000" w:sz="4" w:space="0"/>
              <w:right w:val="single" w:color="000000" w:sz="4" w:space="0"/>
            </w:tcBorders>
          </w:tcPr>
          <w:p>
            <w:pPr>
              <w:pStyle w:val="7"/>
              <w:jc w:val="center"/>
              <w:rPr>
                <w:rFonts w:cs="Times New Roman"/>
                <w:color w:val="auto"/>
              </w:rPr>
            </w:pPr>
          </w:p>
        </w:tc>
        <w:tc>
          <w:tcPr>
            <w:tcW w:w="961" w:type="dxa"/>
            <w:tcBorders>
              <w:top w:val="single" w:color="000000" w:sz="4" w:space="0"/>
              <w:left w:val="single" w:color="000000" w:sz="4" w:space="0"/>
              <w:bottom w:val="single" w:color="000000" w:sz="4" w:space="0"/>
              <w:right w:val="single" w:color="000000" w:sz="4" w:space="0"/>
            </w:tcBorders>
          </w:tcPr>
          <w:p>
            <w:pPr>
              <w:pStyle w:val="7"/>
              <w:rPr>
                <w:rFonts w:cs="Times New Roman"/>
                <w:color w:val="auto"/>
              </w:rPr>
            </w:pPr>
          </w:p>
        </w:tc>
      </w:tr>
      <w:tr>
        <w:tblPrEx>
          <w:tblCellMar>
            <w:top w:w="0" w:type="dxa"/>
            <w:left w:w="108" w:type="dxa"/>
            <w:bottom w:w="0" w:type="dxa"/>
            <w:right w:w="108" w:type="dxa"/>
          </w:tblCellMar>
        </w:tblPrEx>
        <w:trPr>
          <w:trHeight w:val="635" w:hRule="atLeast"/>
        </w:trPr>
        <w:tc>
          <w:tcPr>
            <w:tcW w:w="974" w:type="dxa"/>
            <w:tcBorders>
              <w:top w:val="single" w:color="000000" w:sz="4" w:space="0"/>
              <w:left w:val="single" w:color="000000" w:sz="4" w:space="0"/>
              <w:bottom w:val="single" w:color="000000" w:sz="4" w:space="0"/>
              <w:right w:val="single" w:color="000000" w:sz="4" w:space="0"/>
            </w:tcBorders>
          </w:tcPr>
          <w:p>
            <w:pPr>
              <w:pStyle w:val="7"/>
              <w:rPr>
                <w:rFonts w:cs="Times New Roman"/>
                <w:color w:val="auto"/>
              </w:rPr>
            </w:pPr>
          </w:p>
        </w:tc>
        <w:tc>
          <w:tcPr>
            <w:tcW w:w="1337" w:type="dxa"/>
            <w:tcBorders>
              <w:top w:val="single" w:color="000000" w:sz="4" w:space="0"/>
              <w:left w:val="single" w:color="000000" w:sz="4" w:space="0"/>
              <w:bottom w:val="single" w:color="000000" w:sz="4" w:space="0"/>
              <w:right w:val="single" w:color="000000" w:sz="4" w:space="0"/>
            </w:tcBorders>
          </w:tcPr>
          <w:p>
            <w:pPr>
              <w:pStyle w:val="7"/>
              <w:rPr>
                <w:rFonts w:cs="Times New Roman"/>
                <w:color w:val="auto"/>
              </w:rPr>
            </w:pPr>
          </w:p>
        </w:tc>
        <w:tc>
          <w:tcPr>
            <w:tcW w:w="1341" w:type="dxa"/>
            <w:tcBorders>
              <w:top w:val="single" w:color="000000" w:sz="4" w:space="0"/>
              <w:left w:val="single" w:color="000000" w:sz="4" w:space="0"/>
              <w:bottom w:val="single" w:color="000000" w:sz="4" w:space="0"/>
              <w:right w:val="single" w:color="000000" w:sz="4" w:space="0"/>
            </w:tcBorders>
          </w:tcPr>
          <w:p>
            <w:pPr>
              <w:pStyle w:val="7"/>
              <w:rPr>
                <w:rFonts w:cs="Times New Roman"/>
                <w:color w:val="auto"/>
              </w:rPr>
            </w:pPr>
          </w:p>
        </w:tc>
        <w:tc>
          <w:tcPr>
            <w:tcW w:w="1701" w:type="dxa"/>
            <w:tcBorders>
              <w:top w:val="single" w:color="000000" w:sz="4" w:space="0"/>
              <w:left w:val="single" w:color="000000" w:sz="4" w:space="0"/>
              <w:bottom w:val="single" w:color="000000" w:sz="4" w:space="0"/>
              <w:right w:val="single" w:color="000000" w:sz="4" w:space="0"/>
            </w:tcBorders>
          </w:tcPr>
          <w:p>
            <w:pPr>
              <w:pStyle w:val="7"/>
              <w:rPr>
                <w:rFonts w:cs="Times New Roman"/>
                <w:color w:val="auto"/>
              </w:rPr>
            </w:pPr>
          </w:p>
        </w:tc>
        <w:tc>
          <w:tcPr>
            <w:tcW w:w="1418" w:type="dxa"/>
            <w:tcBorders>
              <w:top w:val="single" w:color="000000" w:sz="4" w:space="0"/>
              <w:left w:val="single" w:color="000000" w:sz="4" w:space="0"/>
              <w:bottom w:val="single" w:color="000000" w:sz="4" w:space="0"/>
              <w:right w:val="single" w:color="000000" w:sz="4" w:space="0"/>
            </w:tcBorders>
          </w:tcPr>
          <w:p>
            <w:pPr>
              <w:pStyle w:val="7"/>
              <w:rPr>
                <w:rFonts w:cs="Times New Roman"/>
                <w:color w:val="auto"/>
              </w:rPr>
            </w:pPr>
          </w:p>
        </w:tc>
        <w:tc>
          <w:tcPr>
            <w:tcW w:w="1503" w:type="dxa"/>
            <w:tcBorders>
              <w:top w:val="single" w:color="000000" w:sz="4" w:space="0"/>
              <w:left w:val="single" w:color="000000" w:sz="4" w:space="0"/>
              <w:bottom w:val="single" w:color="000000" w:sz="4" w:space="0"/>
              <w:right w:val="single" w:color="000000" w:sz="4" w:space="0"/>
            </w:tcBorders>
          </w:tcPr>
          <w:p>
            <w:pPr>
              <w:pStyle w:val="7"/>
              <w:jc w:val="center"/>
              <w:rPr>
                <w:rFonts w:cs="Times New Roman"/>
                <w:color w:val="auto"/>
              </w:rPr>
            </w:pPr>
          </w:p>
        </w:tc>
        <w:tc>
          <w:tcPr>
            <w:tcW w:w="961" w:type="dxa"/>
            <w:tcBorders>
              <w:top w:val="single" w:color="000000" w:sz="4" w:space="0"/>
              <w:left w:val="single" w:color="000000" w:sz="4" w:space="0"/>
              <w:bottom w:val="single" w:color="000000" w:sz="4" w:space="0"/>
              <w:right w:val="single" w:color="000000" w:sz="4" w:space="0"/>
            </w:tcBorders>
          </w:tcPr>
          <w:p>
            <w:pPr>
              <w:pStyle w:val="7"/>
              <w:rPr>
                <w:rFonts w:cs="Times New Roman"/>
                <w:color w:val="auto"/>
              </w:rPr>
            </w:pPr>
          </w:p>
        </w:tc>
      </w:tr>
    </w:tbl>
    <w:p>
      <w:pPr>
        <w:pStyle w:val="13"/>
        <w:spacing w:line="360" w:lineRule="auto"/>
        <w:jc w:val="both"/>
      </w:pPr>
      <w:r>
        <w:rPr>
          <w:rFonts w:hint="eastAsia" w:eastAsia="宋体"/>
        </w:rPr>
        <w:t>經辦：</w:t>
      </w:r>
      <w:r>
        <w:rPr>
          <w:rFonts w:eastAsia="宋体"/>
        </w:rPr>
        <w:t xml:space="preserve">                                    </w:t>
      </w:r>
      <w:r>
        <w:rPr>
          <w:rFonts w:hint="eastAsia" w:eastAsia="宋体"/>
        </w:rPr>
        <w:t>復核：</w:t>
      </w:r>
    </w:p>
    <w:p>
      <w:pPr>
        <w:pStyle w:val="13"/>
        <w:spacing w:line="360" w:lineRule="auto"/>
        <w:jc w:val="both"/>
      </w:pPr>
      <w:r>
        <w:rPr>
          <w:rFonts w:hint="eastAsia" w:eastAsia="宋体"/>
        </w:rPr>
        <w:t>備註：折美元按當月《各種貨幣對美元折算率表》進行折算。</w:t>
      </w:r>
      <w:r>
        <w:rPr>
          <w:rFonts w:eastAsia="宋体"/>
        </w:rPr>
        <w:t xml:space="preserve"> </w:t>
      </w:r>
    </w:p>
    <w:p>
      <w:pPr>
        <w:pStyle w:val="7"/>
        <w:spacing w:line="360" w:lineRule="auto"/>
        <w:rPr>
          <w:rFonts w:cs="Times New Roman"/>
          <w:color w:val="auto"/>
          <w:sz w:val="30"/>
          <w:szCs w:val="30"/>
        </w:rPr>
      </w:pPr>
      <w:r>
        <w:br w:type="page"/>
      </w:r>
      <w:r>
        <w:rPr>
          <w:rFonts w:hint="eastAsia" w:eastAsia="宋体" w:cs="Times New Roman"/>
          <w:color w:val="auto"/>
          <w:sz w:val="30"/>
          <w:szCs w:val="30"/>
        </w:rPr>
        <w:t>附件</w:t>
      </w:r>
      <w:r>
        <w:rPr>
          <w:rFonts w:eastAsia="宋体" w:cs="Times New Roman"/>
          <w:color w:val="auto"/>
          <w:sz w:val="30"/>
          <w:szCs w:val="30"/>
        </w:rPr>
        <w:t xml:space="preserve">2 </w:t>
      </w:r>
    </w:p>
    <w:p>
      <w:pPr>
        <w:pStyle w:val="8"/>
        <w:spacing w:line="360" w:lineRule="auto"/>
        <w:jc w:val="center"/>
        <w:rPr>
          <w:rFonts w:ascii="宋体" w:eastAsia="宋体" w:cs="宋体"/>
          <w:sz w:val="44"/>
          <w:szCs w:val="44"/>
        </w:rPr>
      </w:pPr>
      <w:r>
        <w:rPr>
          <w:rFonts w:hint="eastAsia" w:ascii="宋体" w:eastAsia="宋体" w:cs="宋体"/>
          <w:sz w:val="44"/>
          <w:szCs w:val="44"/>
        </w:rPr>
        <w:t>關於對機構申報主體涉外收入執行</w:t>
      </w:r>
    </w:p>
    <w:p>
      <w:pPr>
        <w:pStyle w:val="8"/>
        <w:spacing w:line="360" w:lineRule="auto"/>
        <w:jc w:val="center"/>
        <w:rPr>
          <w:rFonts w:ascii="宋体" w:eastAsia="宋体" w:cs="宋体"/>
          <w:sz w:val="44"/>
          <w:szCs w:val="44"/>
        </w:rPr>
      </w:pPr>
      <w:r>
        <w:rPr>
          <w:rFonts w:hint="eastAsia" w:ascii="宋体" w:eastAsia="宋体" w:cs="宋体"/>
          <w:sz w:val="44"/>
          <w:szCs w:val="44"/>
        </w:rPr>
        <w:t>“不申報、不解付”特殊處理措施的通知</w:t>
      </w:r>
    </w:p>
    <w:p>
      <w:pPr>
        <w:pStyle w:val="7"/>
        <w:spacing w:line="360" w:lineRule="auto"/>
        <w:rPr>
          <w:color w:val="auto"/>
          <w:sz w:val="30"/>
          <w:szCs w:val="30"/>
        </w:rPr>
      </w:pPr>
    </w:p>
    <w:p>
      <w:pPr>
        <w:pStyle w:val="7"/>
        <w:spacing w:line="360" w:lineRule="auto"/>
        <w:rPr>
          <w:color w:val="auto"/>
          <w:sz w:val="32"/>
          <w:szCs w:val="32"/>
        </w:rPr>
      </w:pPr>
      <w:r>
        <w:rPr>
          <w:rFonts w:hint="eastAsia" w:eastAsia="宋体"/>
          <w:color w:val="auto"/>
          <w:sz w:val="32"/>
          <w:szCs w:val="32"/>
        </w:rPr>
        <w:t>各外匯指定銀行：</w:t>
      </w:r>
    </w:p>
    <w:p>
      <w:pPr>
        <w:pStyle w:val="10"/>
        <w:spacing w:line="360" w:lineRule="auto"/>
        <w:ind w:firstLine="603"/>
        <w:rPr>
          <w:rFonts w:cs="仿宋_GB2312"/>
          <w:sz w:val="32"/>
          <w:szCs w:val="32"/>
        </w:rPr>
      </w:pPr>
      <w:r>
        <w:rPr>
          <w:rFonts w:hint="eastAsia" w:eastAsia="宋体" w:cs="仿宋_GB2312"/>
          <w:sz w:val="32"/>
          <w:szCs w:val="32"/>
        </w:rPr>
        <w:t>根據《國際收支統計申報辦法》和《國家外匯管理局深圳市分局涉外收入“不申報、不解付”特殊處理措施操作指引》等國際收支統計申報業務相關規定，以下機構申報主體未按規定履行申報義務，情節嚴重，我分局決定自</w:t>
      </w:r>
      <w:r>
        <w:rPr>
          <w:rFonts w:eastAsia="宋体" w:cs="仿宋_GB2312"/>
          <w:sz w:val="32"/>
          <w:szCs w:val="32"/>
        </w:rPr>
        <w:t xml:space="preserve"> </w:t>
      </w:r>
      <w:r>
        <w:rPr>
          <w:rFonts w:hint="eastAsia" w:eastAsia="宋体" w:cs="仿宋_GB2312"/>
          <w:sz w:val="32"/>
          <w:szCs w:val="32"/>
        </w:rPr>
        <w:t>年</w:t>
      </w:r>
      <w:r>
        <w:rPr>
          <w:rFonts w:eastAsia="宋体" w:cs="仿宋_GB2312"/>
          <w:sz w:val="32"/>
          <w:szCs w:val="32"/>
        </w:rPr>
        <w:t xml:space="preserve"> </w:t>
      </w:r>
      <w:r>
        <w:rPr>
          <w:rFonts w:hint="eastAsia" w:eastAsia="宋体" w:cs="仿宋_GB2312"/>
          <w:sz w:val="32"/>
          <w:szCs w:val="32"/>
        </w:rPr>
        <w:t>月</w:t>
      </w:r>
      <w:r>
        <w:rPr>
          <w:rFonts w:eastAsia="宋体" w:cs="仿宋_GB2312"/>
          <w:sz w:val="32"/>
          <w:szCs w:val="32"/>
        </w:rPr>
        <w:t xml:space="preserve"> </w:t>
      </w:r>
      <w:r>
        <w:rPr>
          <w:rFonts w:hint="eastAsia" w:eastAsia="宋体" w:cs="仿宋_GB2312"/>
          <w:sz w:val="32"/>
          <w:szCs w:val="32"/>
        </w:rPr>
        <w:t>日至</w:t>
      </w:r>
      <w:r>
        <w:rPr>
          <w:rFonts w:eastAsia="宋体" w:cs="仿宋_GB2312"/>
          <w:sz w:val="32"/>
          <w:szCs w:val="32"/>
        </w:rPr>
        <w:t xml:space="preserve"> </w:t>
      </w:r>
      <w:r>
        <w:rPr>
          <w:rFonts w:hint="eastAsia" w:eastAsia="宋体" w:cs="仿宋_GB2312"/>
          <w:sz w:val="32"/>
          <w:szCs w:val="32"/>
        </w:rPr>
        <w:t>年</w:t>
      </w:r>
      <w:r>
        <w:rPr>
          <w:rFonts w:eastAsia="宋体" w:cs="仿宋_GB2312"/>
          <w:sz w:val="32"/>
          <w:szCs w:val="32"/>
        </w:rPr>
        <w:t xml:space="preserve"> </w:t>
      </w:r>
      <w:r>
        <w:rPr>
          <w:rFonts w:hint="eastAsia" w:eastAsia="宋体" w:cs="仿宋_GB2312"/>
          <w:sz w:val="32"/>
          <w:szCs w:val="32"/>
        </w:rPr>
        <w:t>月</w:t>
      </w:r>
      <w:r>
        <w:rPr>
          <w:rFonts w:eastAsia="宋体" w:cs="仿宋_GB2312"/>
          <w:sz w:val="32"/>
          <w:szCs w:val="32"/>
        </w:rPr>
        <w:t xml:space="preserve"> </w:t>
      </w:r>
      <w:r>
        <w:rPr>
          <w:rFonts w:hint="eastAsia" w:eastAsia="宋体" w:cs="仿宋_GB2312"/>
          <w:sz w:val="32"/>
          <w:szCs w:val="32"/>
        </w:rPr>
        <w:t>日共計三個月，對其執行“不申報、不解付”特殊處理措施。</w:t>
      </w:r>
    </w:p>
    <w:p>
      <w:pPr>
        <w:pStyle w:val="10"/>
        <w:spacing w:line="360" w:lineRule="auto"/>
        <w:ind w:firstLine="603"/>
        <w:rPr>
          <w:rFonts w:cs="仿宋_GB2312"/>
          <w:sz w:val="30"/>
          <w:szCs w:val="30"/>
        </w:rPr>
      </w:pPr>
      <w:r>
        <w:rPr>
          <w:rFonts w:hint="eastAsia" w:eastAsia="宋体" w:cs="仿宋_GB2312"/>
          <w:sz w:val="32"/>
          <w:szCs w:val="32"/>
        </w:rPr>
        <w:t>附表：國際收支涉外收入“不申報、不解付”特殊處理措施機構名單</w:t>
      </w:r>
      <w:r>
        <w:rPr>
          <w:rFonts w:eastAsia="宋体" w:cs="仿宋_GB2312"/>
          <w:sz w:val="30"/>
          <w:szCs w:val="30"/>
        </w:rPr>
        <w:t xml:space="preserve"> </w:t>
      </w:r>
    </w:p>
    <w:p>
      <w:pPr>
        <w:pStyle w:val="7"/>
      </w:pPr>
    </w:p>
    <w:p>
      <w:pPr>
        <w:pStyle w:val="7"/>
      </w:pPr>
    </w:p>
    <w:p>
      <w:pPr>
        <w:pStyle w:val="7"/>
      </w:pPr>
    </w:p>
    <w:p>
      <w:pPr>
        <w:pStyle w:val="7"/>
      </w:pPr>
    </w:p>
    <w:p>
      <w:pPr>
        <w:pStyle w:val="7"/>
      </w:pPr>
    </w:p>
    <w:p>
      <w:pPr>
        <w:pStyle w:val="7"/>
      </w:pPr>
    </w:p>
    <w:p>
      <w:pPr>
        <w:pStyle w:val="7"/>
      </w:pPr>
    </w:p>
    <w:p>
      <w:pPr>
        <w:pStyle w:val="7"/>
      </w:pPr>
    </w:p>
    <w:p>
      <w:pPr>
        <w:pStyle w:val="12"/>
        <w:spacing w:after="0" w:line="360" w:lineRule="auto"/>
        <w:ind w:left="5905" w:right="150" w:hanging="1200"/>
        <w:rPr>
          <w:rFonts w:cs="仿宋_GB2312"/>
          <w:sz w:val="32"/>
          <w:szCs w:val="32"/>
        </w:rPr>
      </w:pPr>
      <w:r>
        <w:rPr>
          <w:rFonts w:hint="eastAsia" w:eastAsia="宋体" w:cs="仿宋_GB2312"/>
          <w:sz w:val="32"/>
          <w:szCs w:val="32"/>
        </w:rPr>
        <w:t>國家外匯管理局深圳市分局</w:t>
      </w:r>
      <w:r>
        <w:rPr>
          <w:rFonts w:eastAsia="宋体" w:cs="仿宋_GB2312"/>
          <w:sz w:val="32"/>
          <w:szCs w:val="32"/>
        </w:rPr>
        <w:t xml:space="preserve"> </w:t>
      </w:r>
      <w:r>
        <w:rPr>
          <w:rFonts w:hint="eastAsia" w:eastAsia="宋体" w:cs="仿宋_GB2312"/>
          <w:sz w:val="32"/>
          <w:szCs w:val="32"/>
        </w:rPr>
        <w:t>年</w:t>
      </w:r>
      <w:r>
        <w:rPr>
          <w:rFonts w:eastAsia="宋体" w:cs="仿宋_GB2312"/>
          <w:sz w:val="32"/>
          <w:szCs w:val="32"/>
        </w:rPr>
        <w:t xml:space="preserve">   </w:t>
      </w:r>
      <w:r>
        <w:rPr>
          <w:rFonts w:hint="eastAsia" w:eastAsia="宋体" w:cs="仿宋_GB2312"/>
          <w:sz w:val="32"/>
          <w:szCs w:val="32"/>
        </w:rPr>
        <w:t>月</w:t>
      </w:r>
      <w:r>
        <w:rPr>
          <w:rFonts w:eastAsia="宋体" w:cs="仿宋_GB2312"/>
          <w:sz w:val="32"/>
          <w:szCs w:val="32"/>
        </w:rPr>
        <w:t xml:space="preserve">   </w:t>
      </w:r>
      <w:r>
        <w:rPr>
          <w:rFonts w:hint="eastAsia" w:eastAsia="宋体" w:cs="仿宋_GB2312"/>
          <w:sz w:val="32"/>
          <w:szCs w:val="32"/>
        </w:rPr>
        <w:t>日</w:t>
      </w:r>
      <w:r>
        <w:rPr>
          <w:rFonts w:eastAsia="宋体" w:cs="仿宋_GB2312"/>
          <w:sz w:val="32"/>
          <w:szCs w:val="32"/>
        </w:rPr>
        <w:t xml:space="preserve"> </w:t>
      </w:r>
    </w:p>
    <w:p>
      <w:pPr>
        <w:pStyle w:val="7"/>
        <w:spacing w:line="360" w:lineRule="auto"/>
        <w:ind w:firstLine="120"/>
        <w:rPr>
          <w:sz w:val="30"/>
          <w:szCs w:val="30"/>
        </w:rPr>
      </w:pPr>
      <w:r>
        <w:br w:type="page"/>
      </w:r>
      <w:r>
        <w:rPr>
          <w:rFonts w:hint="eastAsia" w:eastAsia="宋体"/>
          <w:sz w:val="30"/>
          <w:szCs w:val="30"/>
        </w:rPr>
        <w:t>附件</w:t>
      </w:r>
      <w:r>
        <w:rPr>
          <w:rFonts w:eastAsia="宋体"/>
          <w:sz w:val="30"/>
          <w:szCs w:val="30"/>
        </w:rPr>
        <w:t xml:space="preserve">3  </w:t>
      </w:r>
    </w:p>
    <w:p>
      <w:pPr>
        <w:pStyle w:val="12"/>
        <w:spacing w:line="360" w:lineRule="auto"/>
        <w:jc w:val="center"/>
        <w:rPr>
          <w:sz w:val="30"/>
          <w:szCs w:val="30"/>
        </w:rPr>
      </w:pPr>
      <w:r>
        <w:rPr>
          <w:rFonts w:hint="eastAsia" w:ascii="宋体" w:eastAsia="宋体" w:cs="宋体"/>
          <w:sz w:val="44"/>
          <w:szCs w:val="44"/>
        </w:rPr>
        <w:t>國際收支涉外收入申報補報確認通知書</w:t>
      </w:r>
      <w:r>
        <w:rPr>
          <w:rFonts w:ascii="宋体" w:eastAsia="宋体" w:cs="宋体"/>
          <w:sz w:val="44"/>
          <w:szCs w:val="44"/>
        </w:rPr>
        <w:t xml:space="preserve"> </w:t>
      </w:r>
      <w:r>
        <w:rPr>
          <w:rFonts w:ascii="宋体" w:eastAsia="宋体" w:cs="宋体"/>
          <w:sz w:val="44"/>
          <w:szCs w:val="44"/>
        </w:rPr>
        <w:br w:type="textWrapping"/>
      </w:r>
    </w:p>
    <w:p>
      <w:pPr>
        <w:pStyle w:val="7"/>
        <w:spacing w:after="1505" w:line="580" w:lineRule="atLeast"/>
        <w:ind w:firstLine="600"/>
        <w:jc w:val="both"/>
        <w:rPr>
          <w:color w:val="auto"/>
          <w:sz w:val="32"/>
          <w:szCs w:val="32"/>
        </w:rPr>
      </w:pPr>
      <w:r>
        <w:rPr>
          <w:rFonts w:hint="eastAsia" w:eastAsia="宋体"/>
          <w:color w:val="auto"/>
          <w:sz w:val="32"/>
          <w:szCs w:val="32"/>
        </w:rPr>
        <w:t>茲確認（機構名稱）已</w:t>
      </w:r>
      <w:r>
        <w:rPr>
          <w:rFonts w:eastAsia="宋体"/>
          <w:color w:val="auto"/>
          <w:sz w:val="32"/>
          <w:szCs w:val="32"/>
        </w:rPr>
        <w:t xml:space="preserve">  </w:t>
      </w:r>
      <w:r>
        <w:rPr>
          <w:rFonts w:hint="eastAsia" w:eastAsia="宋体"/>
          <w:color w:val="auto"/>
          <w:sz w:val="32"/>
          <w:szCs w:val="32"/>
        </w:rPr>
        <w:t>完成其</w:t>
      </w:r>
      <w:r>
        <w:rPr>
          <w:rFonts w:eastAsia="宋体"/>
          <w:color w:val="auto"/>
          <w:sz w:val="32"/>
          <w:szCs w:val="32"/>
        </w:rPr>
        <w:t xml:space="preserve">  </w:t>
      </w:r>
      <w:r>
        <w:rPr>
          <w:rFonts w:hint="eastAsia" w:eastAsia="宋体"/>
          <w:color w:val="auto"/>
          <w:sz w:val="32"/>
          <w:szCs w:val="32"/>
        </w:rPr>
        <w:t>年</w:t>
      </w:r>
      <w:r>
        <w:rPr>
          <w:rFonts w:eastAsia="宋体"/>
          <w:color w:val="auto"/>
          <w:sz w:val="32"/>
          <w:szCs w:val="32"/>
        </w:rPr>
        <w:t xml:space="preserve">  </w:t>
      </w:r>
      <w:r>
        <w:rPr>
          <w:rFonts w:hint="eastAsia" w:eastAsia="宋体"/>
          <w:color w:val="auto"/>
          <w:sz w:val="32"/>
          <w:szCs w:val="32"/>
        </w:rPr>
        <w:t>月至</w:t>
      </w:r>
      <w:r>
        <w:rPr>
          <w:rFonts w:eastAsia="宋体"/>
          <w:color w:val="auto"/>
          <w:sz w:val="32"/>
          <w:szCs w:val="32"/>
        </w:rPr>
        <w:t xml:space="preserve">  </w:t>
      </w:r>
      <w:r>
        <w:rPr>
          <w:rFonts w:hint="eastAsia" w:eastAsia="宋体"/>
          <w:color w:val="auto"/>
          <w:sz w:val="32"/>
          <w:szCs w:val="32"/>
        </w:rPr>
        <w:t>年</w:t>
      </w:r>
      <w:r>
        <w:rPr>
          <w:rFonts w:eastAsia="宋体"/>
          <w:color w:val="auto"/>
          <w:sz w:val="32"/>
          <w:szCs w:val="32"/>
        </w:rPr>
        <w:t xml:space="preserve">  </w:t>
      </w:r>
      <w:r>
        <w:rPr>
          <w:rFonts w:hint="eastAsia" w:eastAsia="宋体"/>
          <w:color w:val="auto"/>
          <w:sz w:val="32"/>
          <w:szCs w:val="32"/>
        </w:rPr>
        <w:t>月逾期未申報的</w:t>
      </w:r>
      <w:r>
        <w:rPr>
          <w:rFonts w:eastAsia="宋体"/>
          <w:color w:val="auto"/>
          <w:sz w:val="32"/>
          <w:szCs w:val="32"/>
        </w:rPr>
        <w:t xml:space="preserve">    </w:t>
      </w:r>
      <w:r>
        <w:rPr>
          <w:rFonts w:hint="eastAsia" w:eastAsia="宋体"/>
          <w:color w:val="auto"/>
          <w:sz w:val="32"/>
          <w:szCs w:val="32"/>
        </w:rPr>
        <w:t>筆涉外收入款項補申報手續。決定對其在自</w:t>
      </w:r>
      <w:r>
        <w:rPr>
          <w:rFonts w:eastAsia="宋体"/>
          <w:color w:val="auto"/>
          <w:sz w:val="32"/>
          <w:szCs w:val="32"/>
        </w:rPr>
        <w:t xml:space="preserve"> </w:t>
      </w:r>
      <w:r>
        <w:rPr>
          <w:rFonts w:hint="eastAsia" w:eastAsia="宋体"/>
          <w:color w:val="auto"/>
          <w:sz w:val="32"/>
          <w:szCs w:val="32"/>
        </w:rPr>
        <w:t>年</w:t>
      </w:r>
      <w:r>
        <w:rPr>
          <w:rFonts w:eastAsia="宋体"/>
          <w:color w:val="auto"/>
          <w:sz w:val="32"/>
          <w:szCs w:val="32"/>
        </w:rPr>
        <w:t xml:space="preserve"> </w:t>
      </w:r>
      <w:r>
        <w:rPr>
          <w:rFonts w:hint="eastAsia" w:eastAsia="宋体"/>
          <w:color w:val="auto"/>
          <w:sz w:val="32"/>
          <w:szCs w:val="32"/>
        </w:rPr>
        <w:t>月</w:t>
      </w:r>
      <w:r>
        <w:rPr>
          <w:rFonts w:eastAsia="宋体"/>
          <w:color w:val="auto"/>
          <w:sz w:val="32"/>
          <w:szCs w:val="32"/>
        </w:rPr>
        <w:t xml:space="preserve"> </w:t>
      </w:r>
      <w:r>
        <w:rPr>
          <w:rFonts w:hint="eastAsia" w:eastAsia="宋体"/>
          <w:color w:val="auto"/>
          <w:sz w:val="32"/>
          <w:szCs w:val="32"/>
        </w:rPr>
        <w:t>日至</w:t>
      </w:r>
      <w:r>
        <w:rPr>
          <w:rFonts w:eastAsia="宋体"/>
          <w:color w:val="auto"/>
          <w:sz w:val="32"/>
          <w:szCs w:val="32"/>
        </w:rPr>
        <w:t xml:space="preserve"> </w:t>
      </w:r>
      <w:r>
        <w:rPr>
          <w:rFonts w:hint="eastAsia" w:eastAsia="宋体"/>
          <w:color w:val="auto"/>
          <w:sz w:val="32"/>
          <w:szCs w:val="32"/>
        </w:rPr>
        <w:t>年</w:t>
      </w:r>
      <w:r>
        <w:rPr>
          <w:rFonts w:eastAsia="宋体"/>
          <w:color w:val="auto"/>
          <w:sz w:val="32"/>
          <w:szCs w:val="32"/>
        </w:rPr>
        <w:t xml:space="preserve"> </w:t>
      </w:r>
      <w:r>
        <w:rPr>
          <w:rFonts w:hint="eastAsia" w:eastAsia="宋体"/>
          <w:color w:val="auto"/>
          <w:sz w:val="32"/>
          <w:szCs w:val="32"/>
        </w:rPr>
        <w:t>月</w:t>
      </w:r>
      <w:r>
        <w:rPr>
          <w:rFonts w:eastAsia="宋体"/>
          <w:color w:val="auto"/>
          <w:sz w:val="32"/>
          <w:szCs w:val="32"/>
        </w:rPr>
        <w:t xml:space="preserve"> </w:t>
      </w:r>
      <w:r>
        <w:rPr>
          <w:rFonts w:hint="eastAsia" w:eastAsia="宋体"/>
          <w:color w:val="auto"/>
          <w:sz w:val="32"/>
          <w:szCs w:val="32"/>
        </w:rPr>
        <w:t>日的三個月期限內所有涉外收入均按</w:t>
      </w:r>
      <w:r>
        <w:rPr>
          <w:rFonts w:hint="eastAsia" w:eastAsia="宋体"/>
          <w:sz w:val="32"/>
          <w:szCs w:val="32"/>
        </w:rPr>
        <w:t>《國家外匯管理局深圳市分局涉外收入“不申報、不解付”特殊處理措施操作指引》</w:t>
      </w:r>
      <w:r>
        <w:rPr>
          <w:rFonts w:hint="eastAsia" w:eastAsia="宋体"/>
          <w:color w:val="auto"/>
          <w:sz w:val="32"/>
          <w:szCs w:val="32"/>
        </w:rPr>
        <w:t>第四條第（五）款的規定為其辦理涉外收入解付和申報手續。</w:t>
      </w:r>
    </w:p>
    <w:p>
      <w:pPr>
        <w:pStyle w:val="7"/>
        <w:spacing w:line="583" w:lineRule="atLeast"/>
        <w:ind w:left="5548" w:hanging="900"/>
        <w:jc w:val="both"/>
        <w:rPr>
          <w:color w:val="auto"/>
          <w:sz w:val="32"/>
          <w:szCs w:val="32"/>
        </w:rPr>
      </w:pPr>
      <w:r>
        <w:rPr>
          <w:rFonts w:hint="eastAsia" w:eastAsia="宋体"/>
          <w:color w:val="auto"/>
          <w:sz w:val="32"/>
          <w:szCs w:val="32"/>
        </w:rPr>
        <w:t>國家外匯管理局深圳市分局</w:t>
      </w:r>
    </w:p>
    <w:p>
      <w:pPr>
        <w:pStyle w:val="7"/>
        <w:spacing w:line="583" w:lineRule="atLeast"/>
        <w:ind w:left="5548" w:leftChars="2642"/>
        <w:jc w:val="both"/>
        <w:rPr>
          <w:color w:val="auto"/>
          <w:sz w:val="30"/>
          <w:szCs w:val="30"/>
        </w:rPr>
      </w:pPr>
      <w:r>
        <w:rPr>
          <w:rFonts w:eastAsia="宋体"/>
          <w:color w:val="auto"/>
          <w:sz w:val="32"/>
          <w:szCs w:val="32"/>
        </w:rPr>
        <w:t xml:space="preserve"> </w:t>
      </w:r>
      <w:r>
        <w:rPr>
          <w:rFonts w:hint="eastAsia" w:eastAsia="宋体"/>
          <w:color w:val="auto"/>
          <w:sz w:val="32"/>
          <w:szCs w:val="32"/>
        </w:rPr>
        <w:t>年</w:t>
      </w:r>
      <w:r>
        <w:rPr>
          <w:rFonts w:eastAsia="宋体"/>
          <w:color w:val="auto"/>
          <w:sz w:val="32"/>
          <w:szCs w:val="32"/>
        </w:rPr>
        <w:t xml:space="preserve">   </w:t>
      </w:r>
      <w:r>
        <w:rPr>
          <w:rFonts w:hint="eastAsia" w:eastAsia="宋体"/>
          <w:color w:val="auto"/>
          <w:sz w:val="32"/>
          <w:szCs w:val="32"/>
        </w:rPr>
        <w:t>月</w:t>
      </w:r>
      <w:r>
        <w:rPr>
          <w:rFonts w:eastAsia="宋体"/>
          <w:color w:val="auto"/>
          <w:sz w:val="32"/>
          <w:szCs w:val="32"/>
        </w:rPr>
        <w:t xml:space="preserve">   </w:t>
      </w:r>
      <w:r>
        <w:rPr>
          <w:rFonts w:hint="eastAsia" w:eastAsia="宋体"/>
          <w:color w:val="auto"/>
          <w:sz w:val="32"/>
          <w:szCs w:val="32"/>
        </w:rPr>
        <w:t>日</w:t>
      </w:r>
      <w:r>
        <w:rPr>
          <w:rFonts w:eastAsia="宋体"/>
          <w:color w:val="auto"/>
          <w:sz w:val="30"/>
          <w:szCs w:val="30"/>
        </w:rPr>
        <w:t xml:space="preserve"> </w:t>
      </w:r>
    </w:p>
    <w:p>
      <w:pPr>
        <w:pStyle w:val="13"/>
        <w:jc w:val="both"/>
        <w:rPr>
          <w:rFonts w:cs="仿宋_GB2312"/>
          <w:sz w:val="30"/>
          <w:szCs w:val="30"/>
        </w:rPr>
      </w:pPr>
      <w:r>
        <w:rPr>
          <w:rFonts w:cs="仿宋_GB2312"/>
          <w:sz w:val="30"/>
          <w:szCs w:val="30"/>
        </w:rPr>
        <w:br w:type="page"/>
      </w:r>
      <w:r>
        <w:rPr>
          <w:rFonts w:hint="eastAsia" w:eastAsia="宋体" w:cs="仿宋_GB2312"/>
          <w:sz w:val="30"/>
          <w:szCs w:val="30"/>
        </w:rPr>
        <w:t>附件</w:t>
      </w:r>
      <w:r>
        <w:rPr>
          <w:rFonts w:eastAsia="宋体" w:cs="仿宋_GB2312"/>
          <w:sz w:val="30"/>
          <w:szCs w:val="30"/>
        </w:rPr>
        <w:t>4</w:t>
      </w:r>
    </w:p>
    <w:p>
      <w:pPr>
        <w:pStyle w:val="12"/>
        <w:spacing w:line="626" w:lineRule="atLeast"/>
        <w:ind w:left="2708" w:right="723" w:hanging="1987"/>
        <w:jc w:val="center"/>
        <w:rPr>
          <w:rFonts w:ascii="宋体" w:eastAsia="宋体" w:cs="宋体"/>
          <w:sz w:val="44"/>
          <w:szCs w:val="44"/>
        </w:rPr>
      </w:pPr>
      <w:r>
        <w:rPr>
          <w:rFonts w:hint="eastAsia" w:ascii="宋体" w:eastAsia="宋体" w:cs="宋体"/>
          <w:sz w:val="44"/>
          <w:szCs w:val="44"/>
        </w:rPr>
        <w:t>國際收支涉外收入“不申報、不解付”</w:t>
      </w:r>
    </w:p>
    <w:p>
      <w:pPr>
        <w:pStyle w:val="12"/>
        <w:spacing w:line="626" w:lineRule="atLeast"/>
        <w:ind w:left="2708" w:right="723" w:hanging="1987"/>
        <w:jc w:val="center"/>
        <w:rPr>
          <w:rFonts w:ascii="宋体" w:eastAsia="宋体" w:cs="宋体"/>
          <w:sz w:val="44"/>
          <w:szCs w:val="44"/>
        </w:rPr>
      </w:pPr>
      <w:r>
        <w:rPr>
          <w:rFonts w:hint="eastAsia" w:ascii="宋体" w:eastAsia="宋体" w:cs="宋体"/>
          <w:sz w:val="44"/>
          <w:szCs w:val="44"/>
        </w:rPr>
        <w:t>特殊處理措施解除通知書</w:t>
      </w:r>
    </w:p>
    <w:p>
      <w:pPr>
        <w:pStyle w:val="7"/>
        <w:spacing w:line="360" w:lineRule="auto"/>
        <w:rPr>
          <w:rFonts w:hint="eastAsia"/>
          <w:color w:val="auto"/>
          <w:sz w:val="32"/>
          <w:szCs w:val="32"/>
        </w:rPr>
      </w:pPr>
    </w:p>
    <w:p>
      <w:pPr>
        <w:pStyle w:val="7"/>
        <w:spacing w:line="360" w:lineRule="auto"/>
        <w:rPr>
          <w:color w:val="auto"/>
          <w:sz w:val="28"/>
          <w:szCs w:val="28"/>
        </w:rPr>
      </w:pPr>
      <w:r>
        <w:rPr>
          <w:rFonts w:hint="eastAsia" w:eastAsia="宋体"/>
          <w:color w:val="auto"/>
          <w:sz w:val="32"/>
          <w:szCs w:val="32"/>
        </w:rPr>
        <w:t>各外匯指定銀行：</w:t>
      </w:r>
    </w:p>
    <w:p>
      <w:pPr>
        <w:pStyle w:val="15"/>
        <w:spacing w:line="626" w:lineRule="atLeast"/>
        <w:ind w:firstLine="600"/>
        <w:jc w:val="both"/>
        <w:rPr>
          <w:rFonts w:cs="仿宋_GB2312"/>
          <w:sz w:val="32"/>
          <w:szCs w:val="32"/>
        </w:rPr>
      </w:pPr>
      <w:r>
        <w:rPr>
          <w:rFonts w:hint="eastAsia" w:eastAsia="宋体" w:cs="仿宋_GB2312"/>
          <w:sz w:val="32"/>
          <w:szCs w:val="32"/>
        </w:rPr>
        <w:t>根據《關於對機構申報主體涉外收入執行“不申報、不解付”特殊處理措施的通知》（</w:t>
      </w:r>
      <w:r>
        <w:rPr>
          <w:rFonts w:eastAsia="宋体" w:cs="仿宋_GB2312"/>
          <w:sz w:val="32"/>
          <w:szCs w:val="32"/>
        </w:rPr>
        <w:t xml:space="preserve">   </w:t>
      </w:r>
      <w:r>
        <w:rPr>
          <w:rFonts w:hint="eastAsia" w:eastAsia="宋体" w:cs="仿宋_GB2312"/>
          <w:sz w:val="32"/>
          <w:szCs w:val="32"/>
        </w:rPr>
        <w:t>文號</w:t>
      </w:r>
      <w:r>
        <w:rPr>
          <w:rFonts w:eastAsia="宋体" w:cs="仿宋_GB2312"/>
          <w:sz w:val="32"/>
          <w:szCs w:val="32"/>
        </w:rPr>
        <w:t xml:space="preserve">  </w:t>
      </w:r>
      <w:r>
        <w:rPr>
          <w:rFonts w:hint="eastAsia" w:eastAsia="宋体" w:cs="仿宋_GB2312"/>
          <w:sz w:val="32"/>
          <w:szCs w:val="32"/>
        </w:rPr>
        <w:t>）的要求，對機構執行“不申報、不解付”特殊處理措施。該機構申報主體已按規定履行申報義務，我分局自</w:t>
      </w:r>
      <w:r>
        <w:rPr>
          <w:rFonts w:eastAsia="宋体" w:cs="仿宋_GB2312"/>
          <w:sz w:val="32"/>
          <w:szCs w:val="32"/>
        </w:rPr>
        <w:t xml:space="preserve">  </w:t>
      </w:r>
      <w:r>
        <w:rPr>
          <w:rFonts w:hint="eastAsia" w:eastAsia="宋体" w:cs="仿宋_GB2312"/>
          <w:sz w:val="32"/>
          <w:szCs w:val="32"/>
        </w:rPr>
        <w:t>年</w:t>
      </w:r>
      <w:r>
        <w:rPr>
          <w:rFonts w:eastAsia="宋体" w:cs="仿宋_GB2312"/>
          <w:sz w:val="32"/>
          <w:szCs w:val="32"/>
        </w:rPr>
        <w:t xml:space="preserve"> </w:t>
      </w:r>
      <w:r>
        <w:rPr>
          <w:rFonts w:hint="eastAsia" w:eastAsia="宋体" w:cs="仿宋_GB2312"/>
          <w:sz w:val="32"/>
          <w:szCs w:val="32"/>
        </w:rPr>
        <w:t>月</w:t>
      </w:r>
      <w:r>
        <w:rPr>
          <w:rFonts w:eastAsia="宋体" w:cs="仿宋_GB2312"/>
          <w:sz w:val="32"/>
          <w:szCs w:val="32"/>
        </w:rPr>
        <w:t xml:space="preserve"> </w:t>
      </w:r>
      <w:r>
        <w:rPr>
          <w:rFonts w:hint="eastAsia" w:eastAsia="宋体" w:cs="仿宋_GB2312"/>
          <w:sz w:val="32"/>
          <w:szCs w:val="32"/>
        </w:rPr>
        <w:t>日起解除對該機構“不申報、不解付”特殊處理措施。</w:t>
      </w:r>
      <w:r>
        <w:rPr>
          <w:rFonts w:eastAsia="宋体" w:cs="仿宋_GB2312"/>
          <w:sz w:val="32"/>
          <w:szCs w:val="32"/>
        </w:rPr>
        <w:t xml:space="preserve"> </w:t>
      </w:r>
    </w:p>
    <w:p>
      <w:pPr>
        <w:pStyle w:val="7"/>
        <w:spacing w:line="583" w:lineRule="atLeast"/>
        <w:ind w:left="5248" w:right="508" w:hanging="1050"/>
        <w:jc w:val="both"/>
        <w:rPr>
          <w:color w:val="auto"/>
          <w:sz w:val="32"/>
          <w:szCs w:val="32"/>
        </w:rPr>
      </w:pPr>
      <w:r>
        <w:rPr>
          <w:rFonts w:hint="eastAsia" w:eastAsia="宋体"/>
          <w:color w:val="auto"/>
          <w:sz w:val="32"/>
          <w:szCs w:val="32"/>
        </w:rPr>
        <w:t>國家外匯管理局深圳市分局</w:t>
      </w:r>
    </w:p>
    <w:p>
      <w:pPr>
        <w:pStyle w:val="7"/>
        <w:spacing w:line="583" w:lineRule="atLeast"/>
        <w:ind w:right="508" w:firstLine="5120" w:firstLineChars="1600"/>
        <w:jc w:val="both"/>
      </w:pPr>
      <w:r>
        <w:rPr>
          <w:rFonts w:eastAsia="宋体"/>
          <w:color w:val="auto"/>
          <w:sz w:val="32"/>
          <w:szCs w:val="32"/>
        </w:rPr>
        <w:t xml:space="preserve"> </w:t>
      </w:r>
      <w:r>
        <w:rPr>
          <w:rFonts w:hint="eastAsia" w:eastAsia="宋体"/>
          <w:color w:val="auto"/>
          <w:sz w:val="32"/>
          <w:szCs w:val="32"/>
        </w:rPr>
        <w:t>年</w:t>
      </w:r>
      <w:r>
        <w:rPr>
          <w:rFonts w:eastAsia="宋体"/>
          <w:color w:val="auto"/>
          <w:sz w:val="32"/>
          <w:szCs w:val="32"/>
        </w:rPr>
        <w:t xml:space="preserve">   </w:t>
      </w:r>
      <w:r>
        <w:rPr>
          <w:rFonts w:hint="eastAsia" w:eastAsia="宋体"/>
          <w:color w:val="auto"/>
          <w:sz w:val="32"/>
          <w:szCs w:val="32"/>
        </w:rPr>
        <w:t>月</w:t>
      </w:r>
      <w:r>
        <w:rPr>
          <w:rFonts w:eastAsia="宋体"/>
          <w:color w:val="auto"/>
          <w:sz w:val="32"/>
          <w:szCs w:val="32"/>
        </w:rPr>
        <w:t xml:space="preserve">   </w:t>
      </w:r>
      <w:r>
        <w:rPr>
          <w:rFonts w:hint="eastAsia" w:eastAsia="宋体"/>
          <w:color w:val="auto"/>
          <w:sz w:val="32"/>
          <w:szCs w:val="32"/>
        </w:rPr>
        <w:t>日</w:t>
      </w:r>
      <w:r>
        <w:rPr>
          <w:rFonts w:eastAsia="宋体"/>
          <w:color w:val="auto"/>
          <w:sz w:val="30"/>
          <w:szCs w:val="30"/>
        </w:rPr>
        <w:t xml:space="preserve"> </w:t>
      </w:r>
    </w:p>
    <w:sectPr>
      <w:footerReference r:id="rId3" w:type="even"/>
      <w:pgSz w:w="11905" w:h="16840"/>
      <w:pgMar w:top="840" w:right="1345" w:bottom="840" w:left="1800" w:header="720" w:footer="397"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attachedTemplate r:id="rId1"/>
  <w:documentProtection w:enforcement="0"/>
  <w:defaultTabStop w:val="720"/>
  <w:evenAndOddHeaders w:val="1"/>
  <w:drawingGridHorizontalSpacing w:val="105"/>
  <w:drawingGridVerticalSpacing w:val="120"/>
  <w:displayHorizontalDrawingGridEvery w:val="0"/>
  <w:displayVerticalDrawingGridEvery w:val="3"/>
  <w:doNotShadeFormData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4ZDQ1MTQ3NTY0MThjMTQzN2QzNzYyOGE5NTIxZjEifQ=="/>
  </w:docVars>
  <w:rsids>
    <w:rsidRoot w:val="00DE66A2"/>
    <w:rsid w:val="000147F5"/>
    <w:rsid w:val="00023BAA"/>
    <w:rsid w:val="00024E8D"/>
    <w:rsid w:val="00044583"/>
    <w:rsid w:val="00085F2C"/>
    <w:rsid w:val="000911E5"/>
    <w:rsid w:val="000D3052"/>
    <w:rsid w:val="000F0DAE"/>
    <w:rsid w:val="0010014F"/>
    <w:rsid w:val="00107074"/>
    <w:rsid w:val="0012478D"/>
    <w:rsid w:val="00125A7A"/>
    <w:rsid w:val="00151CF6"/>
    <w:rsid w:val="001615B0"/>
    <w:rsid w:val="00161694"/>
    <w:rsid w:val="001620DC"/>
    <w:rsid w:val="00175CC4"/>
    <w:rsid w:val="00195546"/>
    <w:rsid w:val="001957B0"/>
    <w:rsid w:val="00196896"/>
    <w:rsid w:val="00196CB5"/>
    <w:rsid w:val="001A21B8"/>
    <w:rsid w:val="001B1ABE"/>
    <w:rsid w:val="001D6D8F"/>
    <w:rsid w:val="00246301"/>
    <w:rsid w:val="00261FEA"/>
    <w:rsid w:val="00273931"/>
    <w:rsid w:val="00286726"/>
    <w:rsid w:val="002B7D3D"/>
    <w:rsid w:val="002C19D8"/>
    <w:rsid w:val="00306167"/>
    <w:rsid w:val="00312611"/>
    <w:rsid w:val="00323899"/>
    <w:rsid w:val="003425C5"/>
    <w:rsid w:val="003460E7"/>
    <w:rsid w:val="003724C3"/>
    <w:rsid w:val="003A35FE"/>
    <w:rsid w:val="003A78FA"/>
    <w:rsid w:val="003D117E"/>
    <w:rsid w:val="003F6284"/>
    <w:rsid w:val="0040020B"/>
    <w:rsid w:val="00407249"/>
    <w:rsid w:val="0043478C"/>
    <w:rsid w:val="0043769C"/>
    <w:rsid w:val="0044490B"/>
    <w:rsid w:val="00446558"/>
    <w:rsid w:val="004671B7"/>
    <w:rsid w:val="00483157"/>
    <w:rsid w:val="004924F4"/>
    <w:rsid w:val="004925CD"/>
    <w:rsid w:val="004A1430"/>
    <w:rsid w:val="004C063C"/>
    <w:rsid w:val="004C748D"/>
    <w:rsid w:val="00511538"/>
    <w:rsid w:val="00530D36"/>
    <w:rsid w:val="00563581"/>
    <w:rsid w:val="0057377B"/>
    <w:rsid w:val="005966FA"/>
    <w:rsid w:val="005C4936"/>
    <w:rsid w:val="005D2E8E"/>
    <w:rsid w:val="005D3224"/>
    <w:rsid w:val="005F2285"/>
    <w:rsid w:val="005F27F8"/>
    <w:rsid w:val="00610BDA"/>
    <w:rsid w:val="006166EF"/>
    <w:rsid w:val="00620B10"/>
    <w:rsid w:val="00633370"/>
    <w:rsid w:val="0064730F"/>
    <w:rsid w:val="00654E85"/>
    <w:rsid w:val="00655BF4"/>
    <w:rsid w:val="006853D5"/>
    <w:rsid w:val="00696538"/>
    <w:rsid w:val="00697909"/>
    <w:rsid w:val="006A7DFD"/>
    <w:rsid w:val="006B38F6"/>
    <w:rsid w:val="006D2A82"/>
    <w:rsid w:val="006E675E"/>
    <w:rsid w:val="00704631"/>
    <w:rsid w:val="00715C90"/>
    <w:rsid w:val="00731C12"/>
    <w:rsid w:val="00733619"/>
    <w:rsid w:val="0074465C"/>
    <w:rsid w:val="00763C5C"/>
    <w:rsid w:val="00774C2A"/>
    <w:rsid w:val="007777D9"/>
    <w:rsid w:val="00791338"/>
    <w:rsid w:val="007C4840"/>
    <w:rsid w:val="007C643D"/>
    <w:rsid w:val="007D570B"/>
    <w:rsid w:val="007F5560"/>
    <w:rsid w:val="008045D9"/>
    <w:rsid w:val="00826D4B"/>
    <w:rsid w:val="0083392B"/>
    <w:rsid w:val="00856D1B"/>
    <w:rsid w:val="00890082"/>
    <w:rsid w:val="00890775"/>
    <w:rsid w:val="00897562"/>
    <w:rsid w:val="008B0D80"/>
    <w:rsid w:val="008B3A3D"/>
    <w:rsid w:val="008B563C"/>
    <w:rsid w:val="008E3123"/>
    <w:rsid w:val="008E59F6"/>
    <w:rsid w:val="008E602B"/>
    <w:rsid w:val="008E61E3"/>
    <w:rsid w:val="008F45A8"/>
    <w:rsid w:val="00901007"/>
    <w:rsid w:val="00905CBB"/>
    <w:rsid w:val="00913E98"/>
    <w:rsid w:val="00915825"/>
    <w:rsid w:val="00930733"/>
    <w:rsid w:val="0096717E"/>
    <w:rsid w:val="00970EA0"/>
    <w:rsid w:val="00991561"/>
    <w:rsid w:val="0099748A"/>
    <w:rsid w:val="009A2335"/>
    <w:rsid w:val="009A3B39"/>
    <w:rsid w:val="009B4E78"/>
    <w:rsid w:val="009C55C8"/>
    <w:rsid w:val="009C5F22"/>
    <w:rsid w:val="009C6F70"/>
    <w:rsid w:val="009E27FB"/>
    <w:rsid w:val="00A00293"/>
    <w:rsid w:val="00A16BA3"/>
    <w:rsid w:val="00A23411"/>
    <w:rsid w:val="00A263B8"/>
    <w:rsid w:val="00A41785"/>
    <w:rsid w:val="00A604E0"/>
    <w:rsid w:val="00A74B3E"/>
    <w:rsid w:val="00A80EB5"/>
    <w:rsid w:val="00A83577"/>
    <w:rsid w:val="00AF3DDD"/>
    <w:rsid w:val="00B12131"/>
    <w:rsid w:val="00B12840"/>
    <w:rsid w:val="00B13EBB"/>
    <w:rsid w:val="00B153E9"/>
    <w:rsid w:val="00B31CD7"/>
    <w:rsid w:val="00B34B39"/>
    <w:rsid w:val="00B47C07"/>
    <w:rsid w:val="00B50B01"/>
    <w:rsid w:val="00B530B8"/>
    <w:rsid w:val="00B63206"/>
    <w:rsid w:val="00B922E3"/>
    <w:rsid w:val="00BA7582"/>
    <w:rsid w:val="00BC11A8"/>
    <w:rsid w:val="00BF0D56"/>
    <w:rsid w:val="00BF6495"/>
    <w:rsid w:val="00C0231E"/>
    <w:rsid w:val="00C02639"/>
    <w:rsid w:val="00C02B0F"/>
    <w:rsid w:val="00C02E4E"/>
    <w:rsid w:val="00C21A7E"/>
    <w:rsid w:val="00C273EA"/>
    <w:rsid w:val="00C27D03"/>
    <w:rsid w:val="00C44391"/>
    <w:rsid w:val="00C4516A"/>
    <w:rsid w:val="00C862AE"/>
    <w:rsid w:val="00C93C12"/>
    <w:rsid w:val="00CA6897"/>
    <w:rsid w:val="00CB32FB"/>
    <w:rsid w:val="00CD3843"/>
    <w:rsid w:val="00CE05B0"/>
    <w:rsid w:val="00CE61B7"/>
    <w:rsid w:val="00D0627D"/>
    <w:rsid w:val="00D442C3"/>
    <w:rsid w:val="00D56DF9"/>
    <w:rsid w:val="00D7383D"/>
    <w:rsid w:val="00DA1EEC"/>
    <w:rsid w:val="00DD7CFC"/>
    <w:rsid w:val="00DE66A2"/>
    <w:rsid w:val="00DE6ED1"/>
    <w:rsid w:val="00DF6245"/>
    <w:rsid w:val="00E008D2"/>
    <w:rsid w:val="00E45AF7"/>
    <w:rsid w:val="00E54C90"/>
    <w:rsid w:val="00E5509B"/>
    <w:rsid w:val="00E606E2"/>
    <w:rsid w:val="00E63262"/>
    <w:rsid w:val="00E70C19"/>
    <w:rsid w:val="00E8796D"/>
    <w:rsid w:val="00E97CDC"/>
    <w:rsid w:val="00EA2271"/>
    <w:rsid w:val="00EC5006"/>
    <w:rsid w:val="00F07DA5"/>
    <w:rsid w:val="00F13223"/>
    <w:rsid w:val="00F16E3C"/>
    <w:rsid w:val="00F2340A"/>
    <w:rsid w:val="00F34DF8"/>
    <w:rsid w:val="00F42B68"/>
    <w:rsid w:val="00F66D9F"/>
    <w:rsid w:val="00F82252"/>
    <w:rsid w:val="00FA3159"/>
    <w:rsid w:val="00FA6642"/>
    <w:rsid w:val="00FC214A"/>
    <w:rsid w:val="00FE30A6"/>
    <w:rsid w:val="678B273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efaultImageDpi w14:val="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Times New Roman" w:asciiTheme="minorHAnsi" w:hAnsiTheme="minorHAnsi" w:eastAsiaTheme="minorEastAsia"/>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9"/>
    <w:semiHidden/>
    <w:unhideWhenUsed/>
    <w:qFormat/>
    <w:uiPriority w:val="99"/>
    <w:rPr>
      <w:sz w:val="18"/>
      <w:szCs w:val="18"/>
    </w:rPr>
  </w:style>
  <w:style w:type="paragraph" w:styleId="3">
    <w:name w:val="footer"/>
    <w:basedOn w:val="1"/>
    <w:link w:val="18"/>
    <w:unhideWhenUsed/>
    <w:qFormat/>
    <w:uiPriority w:val="99"/>
    <w:pPr>
      <w:tabs>
        <w:tab w:val="center" w:pos="4153"/>
        <w:tab w:val="right" w:pos="8306"/>
      </w:tabs>
      <w:snapToGrid w:val="0"/>
      <w:jc w:val="left"/>
    </w:pPr>
    <w:rPr>
      <w:sz w:val="18"/>
      <w:szCs w:val="18"/>
    </w:rPr>
  </w:style>
  <w:style w:type="paragraph" w:styleId="4">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Default"/>
    <w:qFormat/>
    <w:uiPriority w:val="0"/>
    <w:pPr>
      <w:widowControl w:val="0"/>
      <w:autoSpaceDE w:val="0"/>
      <w:autoSpaceDN w:val="0"/>
      <w:adjustRightInd w:val="0"/>
    </w:pPr>
    <w:rPr>
      <w:rFonts w:ascii="仿宋_GB2312" w:eastAsia="仿宋_GB2312" w:cs="仿宋_GB2312" w:hAnsiTheme="minorHAnsi"/>
      <w:color w:val="000000"/>
      <w:kern w:val="0"/>
      <w:sz w:val="24"/>
      <w:szCs w:val="24"/>
      <w:lang w:val="en-US" w:eastAsia="zh-CN" w:bidi="ar-SA"/>
    </w:rPr>
  </w:style>
  <w:style w:type="paragraph" w:customStyle="1" w:styleId="8">
    <w:name w:val="CM1"/>
    <w:basedOn w:val="7"/>
    <w:next w:val="7"/>
    <w:qFormat/>
    <w:uiPriority w:val="99"/>
    <w:pPr>
      <w:spacing w:line="626" w:lineRule="atLeast"/>
    </w:pPr>
    <w:rPr>
      <w:rFonts w:cs="Times New Roman"/>
      <w:color w:val="auto"/>
    </w:rPr>
  </w:style>
  <w:style w:type="paragraph" w:customStyle="1" w:styleId="9">
    <w:name w:val="CM2"/>
    <w:basedOn w:val="7"/>
    <w:next w:val="7"/>
    <w:uiPriority w:val="99"/>
    <w:pPr>
      <w:spacing w:line="546" w:lineRule="atLeast"/>
    </w:pPr>
    <w:rPr>
      <w:rFonts w:cs="Times New Roman"/>
      <w:color w:val="auto"/>
    </w:rPr>
  </w:style>
  <w:style w:type="paragraph" w:customStyle="1" w:styleId="10">
    <w:name w:val="CM3"/>
    <w:basedOn w:val="7"/>
    <w:next w:val="7"/>
    <w:qFormat/>
    <w:uiPriority w:val="99"/>
    <w:pPr>
      <w:spacing w:line="546" w:lineRule="atLeast"/>
    </w:pPr>
    <w:rPr>
      <w:rFonts w:cs="Times New Roman"/>
      <w:color w:val="auto"/>
    </w:rPr>
  </w:style>
  <w:style w:type="paragraph" w:customStyle="1" w:styleId="11">
    <w:name w:val="CM5"/>
    <w:basedOn w:val="7"/>
    <w:next w:val="7"/>
    <w:qFormat/>
    <w:uiPriority w:val="99"/>
    <w:pPr>
      <w:spacing w:line="540" w:lineRule="atLeast"/>
    </w:pPr>
    <w:rPr>
      <w:rFonts w:cs="Times New Roman"/>
      <w:color w:val="auto"/>
    </w:rPr>
  </w:style>
  <w:style w:type="paragraph" w:customStyle="1" w:styleId="12">
    <w:name w:val="CM9"/>
    <w:basedOn w:val="7"/>
    <w:next w:val="7"/>
    <w:qFormat/>
    <w:uiPriority w:val="99"/>
    <w:pPr>
      <w:spacing w:after="238"/>
    </w:pPr>
    <w:rPr>
      <w:rFonts w:cs="Times New Roman"/>
      <w:color w:val="auto"/>
    </w:rPr>
  </w:style>
  <w:style w:type="paragraph" w:customStyle="1" w:styleId="13">
    <w:name w:val="CM6"/>
    <w:basedOn w:val="7"/>
    <w:next w:val="7"/>
    <w:qFormat/>
    <w:uiPriority w:val="99"/>
    <w:pPr>
      <w:spacing w:line="626" w:lineRule="atLeast"/>
    </w:pPr>
    <w:rPr>
      <w:rFonts w:cs="Times New Roman"/>
      <w:color w:val="auto"/>
    </w:rPr>
  </w:style>
  <w:style w:type="paragraph" w:customStyle="1" w:styleId="14">
    <w:name w:val="CM8"/>
    <w:basedOn w:val="7"/>
    <w:next w:val="7"/>
    <w:uiPriority w:val="99"/>
    <w:rPr>
      <w:rFonts w:cs="Times New Roman"/>
      <w:color w:val="auto"/>
    </w:rPr>
  </w:style>
  <w:style w:type="paragraph" w:customStyle="1" w:styleId="15">
    <w:name w:val="CM10"/>
    <w:basedOn w:val="7"/>
    <w:next w:val="7"/>
    <w:qFormat/>
    <w:uiPriority w:val="99"/>
    <w:pPr>
      <w:spacing w:after="1570"/>
    </w:pPr>
    <w:rPr>
      <w:rFonts w:cs="Times New Roman"/>
      <w:color w:val="auto"/>
    </w:rPr>
  </w:style>
  <w:style w:type="paragraph" w:customStyle="1" w:styleId="16">
    <w:name w:val="CM7"/>
    <w:basedOn w:val="7"/>
    <w:next w:val="7"/>
    <w:qFormat/>
    <w:uiPriority w:val="99"/>
    <w:rPr>
      <w:rFonts w:cs="Times New Roman"/>
      <w:color w:val="auto"/>
    </w:rPr>
  </w:style>
  <w:style w:type="character" w:customStyle="1" w:styleId="17">
    <w:name w:val="页眉 Char"/>
    <w:basedOn w:val="6"/>
    <w:link w:val="4"/>
    <w:qFormat/>
    <w:locked/>
    <w:uiPriority w:val="99"/>
    <w:rPr>
      <w:rFonts w:cs="Times New Roman"/>
      <w:sz w:val="18"/>
      <w:szCs w:val="18"/>
    </w:rPr>
  </w:style>
  <w:style w:type="character" w:customStyle="1" w:styleId="18">
    <w:name w:val="页脚 Char"/>
    <w:basedOn w:val="6"/>
    <w:link w:val="3"/>
    <w:locked/>
    <w:uiPriority w:val="99"/>
    <w:rPr>
      <w:rFonts w:cs="Times New Roman"/>
      <w:sz w:val="18"/>
      <w:szCs w:val="18"/>
    </w:rPr>
  </w:style>
  <w:style w:type="character" w:customStyle="1" w:styleId="19">
    <w:name w:val="批注框文本 Char"/>
    <w:basedOn w:val="6"/>
    <w:link w:val="2"/>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775\&#26700;&#38754;\&#38468;&#20214;%20&#22269;&#23478;&#22806;&#27719;&#31649;&#29702;&#23616;&#28145;&#22323;&#24066;&#20998;&#23616;&#28041;&#22806;&#25910;&#20837;&#8220;&#19981;&#30003;&#25253;&#12289;&#19981;&#35299;&#20184;&#8221;&#29305;&#27530;&#22788;&#29702;&#25514;&#26045;&#25805;&#20316;&#25351;&#24341;-&#20462;&#35746;&#21518;&#29256;&#26412;.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20A38-8DE0-4B8E-9C2E-157D8746B899}">
  <ds:schemaRefs/>
</ds:datastoreItem>
</file>

<file path=docProps/app.xml><?xml version="1.0" encoding="utf-8"?>
<Properties xmlns="http://schemas.openxmlformats.org/officeDocument/2006/extended-properties" xmlns:vt="http://schemas.openxmlformats.org/officeDocument/2006/docPropsVTypes">
  <Template>附件 国家外汇管理局深圳市分局涉外收入“不申报、不解付”特殊处理措施操作指引-修订后版本</Template>
  <Pages>7</Pages>
  <Words>300</Words>
  <Characters>1714</Characters>
  <Lines>14</Lines>
  <Paragraphs>4</Paragraphs>
  <TotalTime>1169</TotalTime>
  <ScaleCrop>false</ScaleCrop>
  <LinksUpToDate>false</LinksUpToDate>
  <CharactersWithSpaces>2010</CharactersWithSpaces>
  <Application>WPS Office_11.1.0.12349_F1E327BC-269C-435d-A152-05C5408002CA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2022-04-07T01:46:00Z</dcterms:created>
  <dc:creator>李雯</dc:creator>
  <cp:lastModifiedBy>周强</cp:lastModifiedBy>
  <dcterms:modified xsi:type="dcterms:W3CDTF">2022-08-25T09:25:07Z</dcterms:modified>
  <dc:title>&lt;4D6963726F736F667420576F7264202D20C9EECDE2B9DCA1B232303131A1B33236BAC5B8BDBCFE2E646F63&gt;</dc:title>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2052-11.1.0.12349</vt:lpwstr>
  </property>
  <property fmtid="{D5CDD505-2E9C-101B-9397-08002B2CF9AE}" pid="3" name="ICV">
    <vt:lpwstr>25EF87F6894A4FAEAC1B2232221C64C9</vt:lpwstr>
  </property>
</Properties>
</file>