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lang w:val="en-US" w:eastAsia="zh-CN"/>
        </w:rPr>
        <w:t xml:space="preserve">     开户前准备工作</w:t>
      </w:r>
      <w:r>
        <w:rPr>
          <w:rFonts w:hint="eastAsia"/>
          <w:sz w:val="28"/>
          <w:szCs w:val="18"/>
          <w:lang w:val="en-US" w:eastAsia="zh-CN"/>
        </w:rPr>
        <w:t>2022年4月最新</w:t>
      </w:r>
    </w:p>
    <w:p>
      <w:pPr>
        <w:bidi w:val="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1、请仔细阅读：</w:t>
      </w:r>
    </w:p>
    <w:p>
      <w:pPr>
        <w:bidi w:val="0"/>
        <w:rPr>
          <w:rFonts w:hint="eastAsia"/>
          <w:color w:val="0000FF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正常开户时间为</w:t>
      </w:r>
      <w:r>
        <w:rPr>
          <w:rFonts w:hint="eastAsia"/>
          <w:color w:val="0000FF"/>
          <w:sz w:val="32"/>
          <w:szCs w:val="40"/>
          <w:lang w:val="en-US" w:eastAsia="zh-CN"/>
        </w:rPr>
        <w:t>上午9点-11点半，下午1点-4点45</w:t>
      </w:r>
    </w:p>
    <w:p>
      <w:pPr>
        <w:bidi w:val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请妥善安排好时间。</w:t>
      </w:r>
    </w:p>
    <w:p>
      <w:pPr>
        <w:bidi w:val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记得提前带好</w:t>
      </w:r>
      <w:r>
        <w:rPr>
          <w:rFonts w:hint="eastAsia"/>
          <w:color w:val="FF0000"/>
          <w:sz w:val="32"/>
          <w:szCs w:val="40"/>
          <w:u w:val="single"/>
          <w:lang w:val="en-US" w:eastAsia="zh-CN"/>
        </w:rPr>
        <w:t>身份证、银行卡、签名照片（白纸黑笔签名</w:t>
      </w:r>
      <w:r>
        <w:rPr>
          <w:rFonts w:hint="eastAsia"/>
          <w:color w:val="FF0000"/>
          <w:sz w:val="32"/>
          <w:szCs w:val="40"/>
          <w:lang w:val="en-US" w:eastAsia="zh-CN"/>
        </w:rPr>
        <w:t>）</w:t>
      </w:r>
    </w:p>
    <w:p>
      <w:pPr>
        <w:bidi w:val="0"/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3036570" cy="5400040"/>
            <wp:effectExtent l="0" t="0" r="11430" b="1016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71770" cy="5086985"/>
            <wp:effectExtent l="0" t="0" r="5080" b="18415"/>
            <wp:docPr id="1" name="图片 1" descr="13d6afea805ac865c7f1eafcc467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d6afea805ac865c7f1eafcc467c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银期关联 公司直连的银行有中国 建设 兴业 民生这四家，其余的需要您自己登陆网银或者手机银行进行办理。</w:t>
      </w:r>
    </w:p>
    <w:p>
      <w:pPr>
        <w:bidi w:val="0"/>
        <w:rPr>
          <w:rFonts w:hint="eastAsia"/>
          <w:sz w:val="32"/>
          <w:szCs w:val="40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华安期货云开户操作指南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按照步骤进行操作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一、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下载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手机开户：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扫描下方二维码安装。</w:t>
      </w:r>
    </w:p>
    <w:p>
      <w:pPr>
        <w:numPr>
          <w:ilvl w:val="0"/>
          <w:numId w:val="0"/>
        </w:numPr>
        <w:jc w:val="left"/>
        <w:rPr>
          <w:rFonts w:hint="default" w:ascii="宋体" w:hAnsi="宋体" w:cs="宋体" w:eastAsiaTheme="minorEastAsia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</w:rPr>
      </w:pPr>
      <w:r>
        <w:drawing>
          <wp:inline distT="0" distB="0" distL="114300" distR="114300">
            <wp:extent cx="5269865" cy="3989705"/>
            <wp:effectExtent l="0" t="0" r="6985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 w:eastAsiaTheme="minorEastAsia"/>
          <w:color w:val="000000"/>
          <w:kern w:val="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00650" cy="529590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6311900"/>
            <wp:effectExtent l="0" t="0" r="7620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2、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电脑开户：客户可以登录公司专用互联网开户网址：https://haqh.cfmmc.com/进行开户。</w:t>
      </w: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开户</w:t>
      </w: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1、输入期货公司编号，选择“开立期货账户”：打开APP登录以后会出现选择期货公司的页面,在输入框输入期货公司编号(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0001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)进入业务办理界面，选择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开立期货账户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。 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565400" cy="4180840"/>
            <wp:effectExtent l="0" t="0" r="6350" b="10160"/>
            <wp:docPr id="10" name="图片 9" descr="9CDF35AC4686FD5A9E96BA0128964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9CDF35AC4686FD5A9E96BA0128964DD4"/>
                    <pic:cNvPicPr>
                      <a:picLocks noChangeAspect="1"/>
                    </pic:cNvPicPr>
                  </pic:nvPicPr>
                  <pic:blipFill>
                    <a:blip r:embed="rId9"/>
                    <a:srcRect l="-539" t="5646" r="1646" b="27080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3330" cy="4188460"/>
            <wp:effectExtent l="0" t="0" r="127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680" w:firstLineChars="8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</w:t>
      </w: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2、输入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身份证号码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和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验证码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，点击“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下一步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”，输入身份证号码，登录进去后再输入手机号码，点击获取验证码，并输入手机短信所收到的验证码，点击 “马上开户”。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268220" cy="4260215"/>
            <wp:effectExtent l="0" t="0" r="17780" b="6985"/>
            <wp:docPr id="8" name="图片 2" descr="6[Z$K_UO]E${({{KK6_U{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6[Z$K_UO]E${({{KK6_U{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2025" cy="4541520"/>
            <wp:effectExtent l="0" t="0" r="15875" b="11430"/>
            <wp:docPr id="9" name="内容占位符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内容占位符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470" w:firstLineChars="7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3、资料报审-上传身份证照片：进入到上传身份证和签名照片页面，上传相关照片， 要求图片近距离拍摄、图片完整清晰，否则影响后续开户流程，上传照片之后点击下一步。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</w:t>
      </w:r>
      <w:r>
        <w:drawing>
          <wp:inline distT="0" distB="0" distL="114300" distR="114300">
            <wp:extent cx="2367915" cy="4486910"/>
            <wp:effectExtent l="0" t="0" r="1333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0" w:firstLineChars="20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0" w:firstLineChars="20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0" w:firstLineChars="20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0" w:firstLineChars="20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0" w:firstLineChars="20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0" w:firstLineChars="20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0" w:firstLineChars="20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0" w:firstLineChars="20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0" w:firstLineChars="20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0" w:firstLineChars="20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0" w:firstLineChars="200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Calibri" w:hAnsi="Calibri" w:eastAsia="宋体" w:cs="Calibri"/>
          <w:color w:val="000000"/>
          <w:kern w:val="0"/>
          <w:sz w:val="22"/>
          <w:szCs w:val="22"/>
          <w:lang w:val="en-US" w:eastAsia="zh-CN" w:bidi="ar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4、填写基本资料：带“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val="en-US" w:eastAsia="zh-CN"/>
        </w:rPr>
        <w:t>*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”号为必填项，联系地址需要精确到门牌号，开户营业部请按实际情况。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76145" cy="4435475"/>
            <wp:effectExtent l="0" t="0" r="14605" b="3175"/>
            <wp:docPr id="16" name="内容占位符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内容占位符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16480" cy="4573270"/>
            <wp:effectExtent l="0" t="0" r="7620" b="1778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 w:fill="FFD965" w:themeFill="accent4" w:themeFillTint="99"/>
        <w:jc w:val="center"/>
        <w:rPr>
          <w:rFonts w:hint="eastAsia"/>
          <w:sz w:val="36"/>
          <w:szCs w:val="44"/>
          <w:shd w:val="clear" w:color="auto" w:fill="auto"/>
          <w:lang w:val="en-US" w:eastAsia="zh-CN"/>
        </w:rPr>
      </w:pPr>
      <w:r>
        <w:rPr>
          <w:rFonts w:hint="eastAsia"/>
          <w:sz w:val="36"/>
          <w:szCs w:val="44"/>
          <w:shd w:val="clear" w:color="auto" w:fill="auto"/>
          <w:lang w:eastAsia="zh-CN"/>
        </w:rPr>
        <w:t>注意营业部选择期货营业部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color w:val="FF0000"/>
          <w:sz w:val="36"/>
          <w:szCs w:val="44"/>
          <w:u w:val="single"/>
          <w:lang w:val="en-US" w:eastAsia="zh-CN"/>
        </w:rPr>
      </w:pPr>
      <w:r>
        <w:rPr>
          <w:rFonts w:hint="eastAsia"/>
          <w:b/>
          <w:bCs/>
          <w:color w:val="BF9000" w:themeColor="accent4" w:themeShade="BF"/>
          <w:sz w:val="36"/>
          <w:szCs w:val="44"/>
          <w:u w:val="single"/>
          <w:lang w:eastAsia="zh-CN"/>
        </w:rPr>
        <w:t>安徽合肥</w:t>
      </w:r>
      <w:r>
        <w:rPr>
          <w:rFonts w:hint="eastAsia"/>
          <w:b/>
          <w:bCs/>
          <w:color w:val="BF9000" w:themeColor="accent4" w:themeShade="BF"/>
          <w:sz w:val="36"/>
          <w:szCs w:val="44"/>
          <w:u w:val="single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sz w:val="36"/>
          <w:szCs w:val="44"/>
          <w:u w:val="single"/>
          <w:lang w:val="en-US" w:eastAsia="zh-CN"/>
        </w:rPr>
        <w:t>华安期货总部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color w:val="0000FF"/>
          <w:sz w:val="32"/>
          <w:szCs w:val="40"/>
          <w:lang w:val="en-US" w:eastAsia="zh-CN"/>
        </w:rPr>
      </w:pPr>
      <w:r>
        <w:rPr>
          <w:rFonts w:hint="eastAsia"/>
          <w:b/>
          <w:bCs/>
          <w:color w:val="FFD966" w:themeColor="accent4" w:themeTint="99"/>
          <w:sz w:val="32"/>
          <w:szCs w:val="40"/>
          <w:shd w:val="clear" w:fill="FF0000"/>
          <w:lang w:val="en-US" w:eastAsia="zh-CN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必填</w:t>
      </w:r>
      <w:r>
        <w:rPr>
          <w:rFonts w:hint="eastAsia"/>
          <w:b/>
          <w:bCs/>
          <w:color w:val="0000FF"/>
          <w:sz w:val="32"/>
          <w:szCs w:val="4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00FF"/>
          <w:sz w:val="32"/>
          <w:szCs w:val="40"/>
          <w:u w:val="single"/>
          <w:lang w:val="en-US" w:eastAsia="zh-CN"/>
        </w:rPr>
        <w:t>客户经理工号填写</w:t>
      </w:r>
      <w:r>
        <w:rPr>
          <w:rFonts w:hint="eastAsia"/>
          <w:b/>
          <w:bCs/>
          <w:color w:val="FF0000"/>
          <w:sz w:val="32"/>
          <w:szCs w:val="40"/>
          <w:u w:val="single"/>
          <w:lang w:val="en-US" w:eastAsia="zh-CN"/>
        </w:rPr>
        <w:t>6219</w:t>
      </w:r>
      <w:r>
        <w:rPr>
          <w:rFonts w:hint="eastAsia"/>
          <w:b/>
          <w:bCs/>
          <w:color w:val="FF0000"/>
          <w:sz w:val="32"/>
          <w:szCs w:val="40"/>
          <w:u w:val="none"/>
          <w:lang w:val="en-US" w:eastAsia="zh-CN"/>
        </w:rPr>
        <w:t xml:space="preserve">   </w:t>
      </w:r>
      <w:r>
        <w:rPr>
          <w:rFonts w:hint="eastAsia"/>
          <w:b w:val="0"/>
          <w:bCs w:val="0"/>
          <w:color w:val="0000FF"/>
          <w:sz w:val="32"/>
          <w:szCs w:val="40"/>
          <w:u w:val="single"/>
          <w:lang w:val="en-US" w:eastAsia="zh-CN"/>
        </w:rPr>
        <w:t>介绍人编号填写</w:t>
      </w:r>
      <w:r>
        <w:rPr>
          <w:rFonts w:hint="eastAsia"/>
          <w:b/>
          <w:bCs/>
          <w:color w:val="FF0000"/>
          <w:sz w:val="32"/>
          <w:szCs w:val="40"/>
          <w:u w:val="single"/>
          <w:lang w:val="en-US" w:eastAsia="zh-CN"/>
        </w:rPr>
        <w:t>621919</w:t>
      </w:r>
    </w:p>
    <w:p>
      <w:pPr>
        <w:numPr>
          <w:ilvl w:val="0"/>
          <w:numId w:val="0"/>
        </w:numPr>
        <w:ind w:firstLine="1890" w:firstLineChars="9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介绍人（居间人）姓名：</w:t>
      </w:r>
      <w:r>
        <w:rPr>
          <w:rFonts w:hint="eastAsia"/>
          <w:b/>
          <w:bCs/>
          <w:color w:val="00B0F0"/>
          <w:u w:val="single"/>
          <w:lang w:val="en-US" w:eastAsia="zh-CN"/>
        </w:rPr>
        <w:t>李明松</w:t>
      </w:r>
      <w:r>
        <w:rPr>
          <w:rFonts w:hint="eastAsia"/>
          <w:b/>
          <w:bCs/>
          <w:color w:val="00B0F0"/>
          <w:lang w:val="en-US"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 xml:space="preserve">   后期账户开通，电话回访会询问是不是李明松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【记住这个名字，开户及后期回访会询问知不知道居间人李明松，到时候确认下就行】</w:t>
      </w:r>
    </w:p>
    <w:p>
      <w:pPr>
        <w:numPr>
          <w:ilvl w:val="0"/>
          <w:numId w:val="0"/>
        </w:numPr>
        <w:ind w:firstLine="1890" w:firstLineChars="900"/>
        <w:jc w:val="both"/>
        <w:rPr>
          <w:rFonts w:hint="eastAsia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firstLine="1890" w:firstLineChars="9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890" w:firstLineChars="9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890" w:firstLineChars="9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890" w:firstLineChars="9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890" w:firstLineChars="9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890" w:firstLineChars="9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890" w:firstLineChars="9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890" w:firstLineChars="9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890" w:firstLineChars="9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5、添加结算银行：请使用本人的指定银行卡-选择银行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val="en-US" w:eastAsia="zh-CN"/>
        </w:rPr>
        <w:t>-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输入银行卡号和银行网点上传银行卡照片。之后点击“添加银行卡”，添加上之后，点击“下一步”，确认提交。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59055</wp:posOffset>
            </wp:positionV>
            <wp:extent cx="2113280" cy="4387850"/>
            <wp:effectExtent l="0" t="0" r="1270" b="1270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97155</wp:posOffset>
            </wp:positionV>
            <wp:extent cx="1988185" cy="4345305"/>
            <wp:effectExtent l="0" t="0" r="12065" b="1714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163195</wp:posOffset>
            </wp:positionV>
            <wp:extent cx="1980565" cy="4340860"/>
            <wp:effectExtent l="0" t="0" r="635" b="2540"/>
            <wp:wrapNone/>
            <wp:docPr id="4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1260" w:firstLineChars="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1584960</wp:posOffset>
            </wp:positionV>
            <wp:extent cx="2204720" cy="4498975"/>
            <wp:effectExtent l="0" t="0" r="5080" b="1587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6、风险测评：本流程适用于普通投资者，专业投资者请联系客户经理线下办理。如图12所示，请按照真实情况选择年龄（按照周岁计算）、学历等客观信息，最好与之前在基本资料所填信息保持一致。低龄用户（18-20岁）要注意自己的投资年限和投资经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36195</wp:posOffset>
            </wp:positionV>
            <wp:extent cx="2247265" cy="4454525"/>
            <wp:effectExtent l="0" t="0" r="635" b="3175"/>
            <wp:wrapNone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</w:t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适当性测评结束后，如对测评结果不满意，可以对问卷进行重新测评。</w:t>
      </w:r>
    </w:p>
    <w:p>
      <w:pPr>
        <w:bidi w:val="0"/>
        <w:jc w:val="left"/>
      </w:pP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2226945" cy="4476115"/>
            <wp:effectExtent l="0" t="0" r="1905" b="63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</w:t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7、选择开通的交易所：请根据账户类型申请开通相对应的交易所点击“下一步”。只能选择商品期货和二次金融，如需开通一次金融交易编码，请在商品期货开通成功之后在首页选择“增开交易编码”。</w:t>
      </w:r>
    </w:p>
    <w:p>
      <w:pPr>
        <w:bidi w:val="0"/>
        <w:jc w:val="left"/>
      </w:pPr>
      <w:r>
        <w:rPr>
          <w:rFonts w:hint="eastAsia"/>
          <w:lang w:val="en-US" w:eastAsia="zh-CN"/>
        </w:rPr>
        <w:t xml:space="preserve">                         </w:t>
      </w:r>
      <w:r>
        <w:drawing>
          <wp:inline distT="0" distB="0" distL="114300" distR="114300">
            <wp:extent cx="2122170" cy="4462145"/>
            <wp:effectExtent l="0" t="0" r="11430" b="1460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</w:t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8、阅读协议：请拖动滚动条仔细阅读所有协议和业务规则内容，请您在阅读并完全理解后勾选“我已阅读并 同意以上所有协议和业务规则内容”，协议内容要拖动到下拉框的底部，才能点击“下一步”。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2225040" cy="4479290"/>
            <wp:effectExtent l="0" t="0" r="3810" b="1651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jc w:val="left"/>
        <w:rPr>
          <w:rFonts w:hint="default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视频验证：请确保视频的硬件要求都符合后点击“开始视频通话”就可以与期货公司工作人员进行视频连接，若出现排队界面，界时请您耐心等待。直到视频验证通过请进行下一步。</w:t>
      </w:r>
    </w:p>
    <w:p>
      <w:pPr>
        <w:bidi w:val="0"/>
        <w:jc w:val="left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19050</wp:posOffset>
            </wp:positionV>
            <wp:extent cx="2120900" cy="4476115"/>
            <wp:effectExtent l="0" t="0" r="12700" b="635"/>
            <wp:wrapNone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71370" cy="4472940"/>
            <wp:effectExtent l="0" t="0" r="5080" b="3810"/>
            <wp:wrapNone/>
            <wp:docPr id="27" name="内容占位符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内容占位符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0</wp:posOffset>
            </wp:positionV>
            <wp:extent cx="2096135" cy="4504055"/>
            <wp:effectExtent l="0" t="0" r="18415" b="10795"/>
            <wp:wrapNone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ind w:firstLine="1260" w:firstLineChars="6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安装数字证书：数字证书是确认客户身份的凭证，安装数字证书需要设置 6 -8位数字密码，安装成功后，数字证书自动保存在本地。请保管好数字证书的密码，后期开通新业务需要此证书密码。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2259965" cy="4505325"/>
            <wp:effectExtent l="0" t="0" r="6985" b="9525"/>
            <wp:docPr id="30" name="内容占位符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内容占位符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numPr>
          <w:ilvl w:val="0"/>
          <w:numId w:val="1"/>
        </w:numPr>
        <w:bidi w:val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签署协议：请您逐一点开并仔细阅读所有协议，为保障您的权益，协议都是必读项，请您在全 部阅读并完全理解后勾选“我已阅读并同意签署以上协议”，输入数字证书密码，点击“下一步”。 如果忘记数字证书密码或卸载的话需要重新视频。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1075" cy="4502150"/>
            <wp:effectExtent l="0" t="0" r="15875" b="12700"/>
            <wp:wrapNone/>
            <wp:docPr id="31" name="内容占位符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内容占位符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0</wp:posOffset>
            </wp:positionV>
            <wp:extent cx="2288540" cy="4502785"/>
            <wp:effectExtent l="0" t="0" r="16510" b="12065"/>
            <wp:wrapNone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>
      <w:pPr>
        <w:tabs>
          <w:tab w:val="left" w:pos="3261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609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609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09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09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09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096"/>
        </w:tabs>
        <w:bidi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386715</wp:posOffset>
            </wp:positionV>
            <wp:extent cx="2183130" cy="4544060"/>
            <wp:effectExtent l="0" t="0" r="7620" b="8890"/>
            <wp:wrapNone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382905</wp:posOffset>
            </wp:positionV>
            <wp:extent cx="2180590" cy="4526915"/>
            <wp:effectExtent l="0" t="0" r="10160" b="6985"/>
            <wp:wrapNone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12、在线回访：如实填写回访问卷。</w:t>
      </w:r>
    </w:p>
    <w:p>
      <w:pPr>
        <w:tabs>
          <w:tab w:val="left" w:pos="6096"/>
        </w:tabs>
        <w:bidi w:val="0"/>
        <w:jc w:val="left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34290</wp:posOffset>
            </wp:positionV>
            <wp:extent cx="2081530" cy="4526915"/>
            <wp:effectExtent l="0" t="0" r="13970" b="6985"/>
            <wp:wrapNone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66"/>
        </w:tabs>
        <w:bidi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13、等待开户反馈：回访问卷提交后会出现待复核界面，请等待期货公司工作人员审核，开户成功后工作人员会即时短信告知您期货交易账号的相关信息，如果开户失败会有工作人员与您联系。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47625</wp:posOffset>
            </wp:positionV>
            <wp:extent cx="2205355" cy="4422140"/>
            <wp:effectExtent l="0" t="0" r="4445" b="16510"/>
            <wp:wrapNone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47625</wp:posOffset>
            </wp:positionV>
            <wp:extent cx="2177415" cy="4464050"/>
            <wp:effectExtent l="0" t="0" r="13335" b="12700"/>
            <wp:wrapNone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tabs>
          <w:tab w:val="left" w:pos="5466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eastAsia"/>
          <w:sz w:val="32"/>
          <w:szCs w:val="40"/>
          <w:lang w:val="en-US" w:eastAsia="zh-CN"/>
        </w:rPr>
      </w:pPr>
    </w:p>
    <w:p>
      <w:pPr>
        <w:bidi w:val="0"/>
        <w:rPr>
          <w:rFonts w:hint="eastAsia"/>
          <w:sz w:val="32"/>
          <w:szCs w:val="40"/>
          <w:lang w:val="en-US" w:eastAsia="zh-CN"/>
        </w:rPr>
      </w:pPr>
    </w:p>
    <w:p>
      <w:pPr>
        <w:bidi w:val="0"/>
        <w:rPr>
          <w:rFonts w:hint="eastAsia"/>
          <w:sz w:val="32"/>
          <w:szCs w:val="40"/>
          <w:lang w:val="en-US" w:eastAsia="zh-CN"/>
        </w:rPr>
      </w:pPr>
    </w:p>
    <w:p>
      <w:pPr>
        <w:bidi w:val="0"/>
        <w:rPr>
          <w:rFonts w:hint="eastAsia"/>
          <w:sz w:val="32"/>
          <w:szCs w:val="40"/>
          <w:lang w:val="en-US" w:eastAsia="zh-CN"/>
        </w:rPr>
      </w:pPr>
    </w:p>
    <w:p>
      <w:pPr>
        <w:bidi w:val="0"/>
        <w:rPr>
          <w:rFonts w:hint="eastAsia"/>
          <w:sz w:val="32"/>
          <w:szCs w:val="40"/>
          <w:lang w:val="en-US" w:eastAsia="zh-CN"/>
        </w:rPr>
      </w:pPr>
    </w:p>
    <w:p>
      <w:pPr>
        <w:bidi w:val="0"/>
        <w:rPr>
          <w:rFonts w:hint="eastAsia"/>
          <w:sz w:val="32"/>
          <w:szCs w:val="40"/>
          <w:lang w:val="en-US" w:eastAsia="zh-CN"/>
        </w:rPr>
      </w:pPr>
    </w:p>
    <w:p>
      <w:pPr>
        <w:bidi w:val="0"/>
        <w:rPr>
          <w:rFonts w:hint="eastAsia"/>
          <w:sz w:val="32"/>
          <w:szCs w:val="40"/>
          <w:lang w:val="en-US" w:eastAsia="zh-CN"/>
        </w:rPr>
      </w:pPr>
    </w:p>
    <w:p>
      <w:pPr>
        <w:bidi w:val="0"/>
        <w:rPr>
          <w:rFonts w:hint="eastAsia"/>
          <w:sz w:val="32"/>
          <w:szCs w:val="40"/>
          <w:lang w:val="en-US" w:eastAsia="zh-CN"/>
        </w:rPr>
      </w:pPr>
    </w:p>
    <w:p>
      <w:pPr>
        <w:bidi w:val="0"/>
        <w:rPr>
          <w:rFonts w:hint="eastAsia"/>
          <w:sz w:val="32"/>
          <w:szCs w:val="40"/>
          <w:lang w:val="en-US" w:eastAsia="zh-CN"/>
        </w:rPr>
      </w:pPr>
    </w:p>
    <w:p>
      <w:pPr>
        <w:bidi w:val="0"/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8595" cy="5708650"/>
            <wp:effectExtent l="0" t="0" r="8255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BD2D8"/>
    <w:multiLevelType w:val="singleLevel"/>
    <w:tmpl w:val="0E8BD2D8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2OGFhNzc1MTcwODhiZWFmM2M4YTBiZTUyOTE3YmEifQ=="/>
  </w:docVars>
  <w:rsids>
    <w:rsidRoot w:val="00000000"/>
    <w:rsid w:val="00E2061F"/>
    <w:rsid w:val="03635FA8"/>
    <w:rsid w:val="0C463500"/>
    <w:rsid w:val="14285837"/>
    <w:rsid w:val="199674B5"/>
    <w:rsid w:val="19E461BD"/>
    <w:rsid w:val="25B667A0"/>
    <w:rsid w:val="2A3272B0"/>
    <w:rsid w:val="30E9657C"/>
    <w:rsid w:val="3A0F192F"/>
    <w:rsid w:val="3E670471"/>
    <w:rsid w:val="3F5B0ADB"/>
    <w:rsid w:val="40D8775C"/>
    <w:rsid w:val="43E27C64"/>
    <w:rsid w:val="49243B56"/>
    <w:rsid w:val="66AE5186"/>
    <w:rsid w:val="67DC6128"/>
    <w:rsid w:val="6A084247"/>
    <w:rsid w:val="7504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1272</Words>
  <Characters>1322</Characters>
  <Lines>0</Lines>
  <Paragraphs>0</Paragraphs>
  <TotalTime>1</TotalTime>
  <ScaleCrop>false</ScaleCrop>
  <LinksUpToDate>false</LinksUpToDate>
  <CharactersWithSpaces>1661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qq</cp:lastModifiedBy>
  <dcterms:modified xsi:type="dcterms:W3CDTF">2022-04-27T05:29:08Z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18968ACC64C949CF947726A979DF8C04</vt:lpwstr>
  </property>
</Properties>
</file>